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AFCE0B" w14:textId="77777777" w:rsidR="00F620EE" w:rsidRPr="00F4418F" w:rsidRDefault="00AB32C0" w:rsidP="006D2BBD">
      <w:pPr>
        <w:pStyle w:val="Body"/>
        <w:spacing w:after="0" w:line="360" w:lineRule="auto"/>
        <w:ind w:left="3385" w:right="3450" w:firstLine="290"/>
        <w:jc w:val="center"/>
        <w:rPr>
          <w:b/>
          <w:bCs/>
          <w:color w:val="auto"/>
          <w:sz w:val="28"/>
          <w:szCs w:val="28"/>
        </w:rPr>
      </w:pPr>
      <w:r w:rsidRPr="00F4418F">
        <w:rPr>
          <w:b/>
          <w:bCs/>
          <w:color w:val="auto"/>
          <w:sz w:val="28"/>
          <w:szCs w:val="28"/>
        </w:rPr>
        <w:t>SYLLABUS</w:t>
      </w:r>
    </w:p>
    <w:p w14:paraId="77806AD0" w14:textId="77777777" w:rsidR="00F620EE" w:rsidRPr="00F4418F" w:rsidRDefault="00AB32C0" w:rsidP="006D2BBD">
      <w:pPr>
        <w:pStyle w:val="Body"/>
        <w:spacing w:after="0" w:line="360" w:lineRule="auto"/>
        <w:ind w:left="3385" w:right="3450" w:firstLine="290"/>
        <w:jc w:val="center"/>
        <w:rPr>
          <w:color w:val="auto"/>
        </w:rPr>
      </w:pPr>
      <w:r w:rsidRPr="00F4418F">
        <w:rPr>
          <w:b/>
          <w:bCs/>
          <w:color w:val="auto"/>
          <w:sz w:val="28"/>
          <w:szCs w:val="28"/>
        </w:rPr>
        <w:t xml:space="preserve"> </w:t>
      </w:r>
      <w:r w:rsidRPr="00F4418F">
        <w:rPr>
          <w:b/>
          <w:bCs/>
          <w:color w:val="auto"/>
        </w:rPr>
        <w:t xml:space="preserve">for the State Exam in </w:t>
      </w:r>
    </w:p>
    <w:p w14:paraId="148EA035" w14:textId="77777777" w:rsidR="00F620EE" w:rsidRPr="00F4418F" w:rsidRDefault="00AB32C0" w:rsidP="006D2BBD">
      <w:pPr>
        <w:pStyle w:val="Body"/>
        <w:spacing w:after="0" w:line="360" w:lineRule="auto"/>
        <w:ind w:left="0" w:right="58" w:firstLine="0"/>
        <w:jc w:val="center"/>
        <w:rPr>
          <w:color w:val="auto"/>
        </w:rPr>
      </w:pPr>
      <w:r w:rsidRPr="00F4418F">
        <w:rPr>
          <w:b/>
          <w:bCs/>
          <w:color w:val="auto"/>
        </w:rPr>
        <w:t>PHARMACEUTICAL CHEMISTRY AND PHARMACEUTICAL ANALYSIS</w:t>
      </w:r>
      <w:r w:rsidRPr="00F4418F">
        <w:rPr>
          <w:b/>
          <w:bCs/>
          <w:color w:val="auto"/>
          <w:u w:color="FF0000"/>
        </w:rPr>
        <w:t xml:space="preserve"> </w:t>
      </w:r>
    </w:p>
    <w:p w14:paraId="3EA4C16F" w14:textId="77777777" w:rsidR="00F620EE" w:rsidRPr="00F4418F" w:rsidRDefault="00AB32C0" w:rsidP="006D2BBD">
      <w:pPr>
        <w:pStyle w:val="Body"/>
        <w:spacing w:after="0" w:line="360" w:lineRule="auto"/>
        <w:ind w:left="0" w:right="7" w:firstLine="0"/>
        <w:jc w:val="center"/>
        <w:rPr>
          <w:color w:val="auto"/>
        </w:rPr>
      </w:pPr>
      <w:r w:rsidRPr="00F4418F">
        <w:rPr>
          <w:b/>
          <w:bCs/>
          <w:color w:val="auto"/>
          <w:u w:color="FF0000"/>
        </w:rPr>
        <w:t xml:space="preserve"> </w:t>
      </w:r>
    </w:p>
    <w:p w14:paraId="519D914C" w14:textId="2433A485" w:rsidR="00F620EE" w:rsidRPr="00F4418F" w:rsidRDefault="00AB32C0" w:rsidP="006D2BBD">
      <w:pPr>
        <w:pStyle w:val="Body"/>
        <w:numPr>
          <w:ilvl w:val="0"/>
          <w:numId w:val="2"/>
        </w:numPr>
        <w:spacing w:after="0" w:line="360" w:lineRule="auto"/>
        <w:ind w:right="53"/>
        <w:rPr>
          <w:color w:val="auto"/>
        </w:rPr>
      </w:pPr>
      <w:r w:rsidRPr="00F4418F">
        <w:rPr>
          <w:color w:val="auto"/>
        </w:rPr>
        <w:t xml:space="preserve">General </w:t>
      </w:r>
      <w:r w:rsidR="0057256F" w:rsidRPr="00F4418F">
        <w:rPr>
          <w:color w:val="auto"/>
        </w:rPr>
        <w:t>anesthetics</w:t>
      </w:r>
      <w:r w:rsidRPr="00F4418F">
        <w:rPr>
          <w:color w:val="auto"/>
        </w:rPr>
        <w:t xml:space="preserve">. Inhalational and non-inhalational </w:t>
      </w:r>
      <w:r w:rsidR="0057256F" w:rsidRPr="00F4418F">
        <w:rPr>
          <w:color w:val="auto"/>
        </w:rPr>
        <w:t>anesthetics</w:t>
      </w:r>
      <w:r w:rsidRPr="00F4418F">
        <w:rPr>
          <w:color w:val="auto"/>
        </w:rPr>
        <w:t xml:space="preserve">. Local </w:t>
      </w:r>
      <w:r w:rsidR="0057256F" w:rsidRPr="00F4418F">
        <w:rPr>
          <w:color w:val="auto"/>
        </w:rPr>
        <w:t>anesthetics</w:t>
      </w:r>
      <w:r w:rsidRPr="00F4418F">
        <w:rPr>
          <w:color w:val="auto"/>
        </w:rPr>
        <w:t xml:space="preserve">. </w:t>
      </w:r>
    </w:p>
    <w:p w14:paraId="24DBDF83" w14:textId="77777777" w:rsidR="00F620EE" w:rsidRPr="00F4418F" w:rsidRDefault="00AB32C0" w:rsidP="006D2BBD">
      <w:pPr>
        <w:pStyle w:val="Body"/>
        <w:numPr>
          <w:ilvl w:val="0"/>
          <w:numId w:val="2"/>
        </w:numPr>
        <w:spacing w:after="0" w:line="360" w:lineRule="auto"/>
        <w:ind w:right="53"/>
        <w:rPr>
          <w:color w:val="auto"/>
        </w:rPr>
      </w:pPr>
      <w:r w:rsidRPr="00F4418F">
        <w:rPr>
          <w:color w:val="auto"/>
        </w:rPr>
        <w:t xml:space="preserve">Sedative-hypnotic agents. Anxiolytics (tranquillizers). </w:t>
      </w:r>
    </w:p>
    <w:p w14:paraId="221A6255" w14:textId="77777777" w:rsidR="00F620EE" w:rsidRPr="00F4418F" w:rsidRDefault="00AB32C0" w:rsidP="006D2BBD">
      <w:pPr>
        <w:pStyle w:val="Body"/>
        <w:numPr>
          <w:ilvl w:val="0"/>
          <w:numId w:val="2"/>
        </w:numPr>
        <w:spacing w:after="0" w:line="360" w:lineRule="auto"/>
        <w:ind w:right="53"/>
        <w:rPr>
          <w:color w:val="auto"/>
        </w:rPr>
      </w:pPr>
      <w:r w:rsidRPr="00F4418F">
        <w:rPr>
          <w:color w:val="auto"/>
        </w:rPr>
        <w:t xml:space="preserve">Antipsychotics (neuroleptics). Atypical antipsychotics. </w:t>
      </w:r>
    </w:p>
    <w:p w14:paraId="693B2421" w14:textId="77777777" w:rsidR="00F620EE" w:rsidRPr="00F4418F" w:rsidRDefault="00AB32C0" w:rsidP="006D2BBD">
      <w:pPr>
        <w:pStyle w:val="Body"/>
        <w:numPr>
          <w:ilvl w:val="0"/>
          <w:numId w:val="2"/>
        </w:numPr>
        <w:spacing w:after="0" w:line="360" w:lineRule="auto"/>
        <w:ind w:right="53"/>
        <w:rPr>
          <w:color w:val="auto"/>
        </w:rPr>
      </w:pPr>
      <w:r w:rsidRPr="00F4418F">
        <w:rPr>
          <w:color w:val="auto"/>
        </w:rPr>
        <w:t xml:space="preserve">Antidepressants. Selective inhibitors of serotonin and norepinephrine reuptake (SSRI and SNRI). MAO inhibitors. Atypical antidepressants. </w:t>
      </w:r>
    </w:p>
    <w:p w14:paraId="1CE5EA3F" w14:textId="77777777" w:rsidR="00F620EE" w:rsidRPr="00F4418F" w:rsidRDefault="00AB32C0" w:rsidP="006D2BBD">
      <w:pPr>
        <w:pStyle w:val="Body"/>
        <w:numPr>
          <w:ilvl w:val="0"/>
          <w:numId w:val="2"/>
        </w:numPr>
        <w:spacing w:after="0" w:line="360" w:lineRule="auto"/>
        <w:ind w:right="53"/>
        <w:rPr>
          <w:color w:val="auto"/>
        </w:rPr>
      </w:pPr>
      <w:r w:rsidRPr="00F4418F">
        <w:rPr>
          <w:color w:val="auto"/>
        </w:rPr>
        <w:t xml:space="preserve">CNS stimulants. Psychostimulants. Nootropic agents and central vasodilators. Drugs acting on CNS metabolism. </w:t>
      </w:r>
    </w:p>
    <w:p w14:paraId="3B5827B6" w14:textId="77777777" w:rsidR="00F620EE" w:rsidRPr="00F4418F" w:rsidRDefault="00AB32C0" w:rsidP="006D2BBD">
      <w:pPr>
        <w:pStyle w:val="Body"/>
        <w:numPr>
          <w:ilvl w:val="0"/>
          <w:numId w:val="2"/>
        </w:numPr>
        <w:spacing w:after="0" w:line="360" w:lineRule="auto"/>
        <w:ind w:right="53"/>
        <w:rPr>
          <w:color w:val="auto"/>
        </w:rPr>
      </w:pPr>
      <w:r w:rsidRPr="00F4418F">
        <w:rPr>
          <w:color w:val="auto"/>
        </w:rPr>
        <w:t xml:space="preserve">Antiepileptic drugs (anticonvulsants). </w:t>
      </w:r>
    </w:p>
    <w:p w14:paraId="3FF84D21" w14:textId="57F98953" w:rsidR="00F620EE" w:rsidRPr="00F4418F" w:rsidRDefault="00C8277A" w:rsidP="006D2BBD">
      <w:pPr>
        <w:pStyle w:val="Body"/>
        <w:numPr>
          <w:ilvl w:val="0"/>
          <w:numId w:val="2"/>
        </w:numPr>
        <w:spacing w:after="0" w:line="360" w:lineRule="auto"/>
        <w:ind w:right="53"/>
        <w:rPr>
          <w:color w:val="auto"/>
        </w:rPr>
      </w:pPr>
      <w:r w:rsidRPr="00F4418F">
        <w:rPr>
          <w:color w:val="auto"/>
        </w:rPr>
        <w:t>Antiparkinsonian</w:t>
      </w:r>
      <w:r w:rsidR="00AB32C0" w:rsidRPr="00F4418F">
        <w:rPr>
          <w:color w:val="auto"/>
        </w:rPr>
        <w:t xml:space="preserve"> drugs.  </w:t>
      </w:r>
    </w:p>
    <w:p w14:paraId="33B3C6ED" w14:textId="77777777" w:rsidR="00F620EE" w:rsidRPr="00F4418F" w:rsidRDefault="00AB32C0" w:rsidP="006D2BBD">
      <w:pPr>
        <w:pStyle w:val="Body"/>
        <w:numPr>
          <w:ilvl w:val="0"/>
          <w:numId w:val="2"/>
        </w:numPr>
        <w:spacing w:after="0" w:line="360" w:lineRule="auto"/>
        <w:ind w:right="53"/>
        <w:rPr>
          <w:color w:val="auto"/>
        </w:rPr>
      </w:pPr>
      <w:bookmarkStart w:id="0" w:name="_Hlk128143163"/>
      <w:r w:rsidRPr="00F4418F">
        <w:rPr>
          <w:color w:val="auto"/>
        </w:rPr>
        <w:t>Opioid analgesics</w:t>
      </w:r>
      <w:bookmarkEnd w:id="0"/>
      <w:r w:rsidRPr="00F4418F">
        <w:rPr>
          <w:color w:val="auto"/>
        </w:rPr>
        <w:t xml:space="preserve">. Natural, semisynthetic and synthetic opioid agonists. Mixed agonist-antagonists. Opioid antagonists. </w:t>
      </w:r>
    </w:p>
    <w:p w14:paraId="12E34712" w14:textId="77777777" w:rsidR="00F620EE" w:rsidRPr="00F4418F" w:rsidRDefault="00AB32C0" w:rsidP="006D2BBD">
      <w:pPr>
        <w:pStyle w:val="Body"/>
        <w:numPr>
          <w:ilvl w:val="0"/>
          <w:numId w:val="2"/>
        </w:numPr>
        <w:spacing w:after="0" w:line="360" w:lineRule="auto"/>
        <w:ind w:right="53"/>
        <w:rPr>
          <w:color w:val="auto"/>
        </w:rPr>
      </w:pPr>
      <w:r w:rsidRPr="00F4418F">
        <w:rPr>
          <w:color w:val="auto"/>
        </w:rPr>
        <w:t xml:space="preserve">Non-opioid analgesics. Non-steroidal anti-inflammatory drugs (NSAID), antipyretics and antimigraine agents. </w:t>
      </w:r>
    </w:p>
    <w:p w14:paraId="342A3044" w14:textId="77777777" w:rsidR="00F620EE" w:rsidRPr="00F4418F" w:rsidRDefault="00AB32C0" w:rsidP="006D2BBD">
      <w:pPr>
        <w:pStyle w:val="Body"/>
        <w:numPr>
          <w:ilvl w:val="0"/>
          <w:numId w:val="2"/>
        </w:numPr>
        <w:spacing w:after="0" w:line="360" w:lineRule="auto"/>
        <w:ind w:right="53"/>
        <w:rPr>
          <w:color w:val="auto"/>
        </w:rPr>
      </w:pPr>
      <w:proofErr w:type="spellStart"/>
      <w:r w:rsidRPr="00F4418F">
        <w:rPr>
          <w:color w:val="auto"/>
        </w:rPr>
        <w:t>Parasympaticomimetics</w:t>
      </w:r>
      <w:proofErr w:type="spellEnd"/>
      <w:r w:rsidRPr="00F4418F">
        <w:rPr>
          <w:color w:val="auto"/>
        </w:rPr>
        <w:t xml:space="preserve">. </w:t>
      </w:r>
      <w:proofErr w:type="spellStart"/>
      <w:r w:rsidRPr="00F4418F">
        <w:rPr>
          <w:color w:val="auto"/>
        </w:rPr>
        <w:t>Parasympaticolytics</w:t>
      </w:r>
      <w:proofErr w:type="spellEnd"/>
      <w:r w:rsidRPr="00F4418F">
        <w:rPr>
          <w:color w:val="auto"/>
        </w:rPr>
        <w:t xml:space="preserve"> (anticholinergic drugs). Neuromuscular blockers.  </w:t>
      </w:r>
    </w:p>
    <w:p w14:paraId="518A796B" w14:textId="77777777" w:rsidR="00F620EE" w:rsidRPr="00F4418F" w:rsidRDefault="00AB32C0" w:rsidP="006D2BBD">
      <w:pPr>
        <w:pStyle w:val="Body"/>
        <w:numPr>
          <w:ilvl w:val="0"/>
          <w:numId w:val="2"/>
        </w:numPr>
        <w:spacing w:after="0" w:line="360" w:lineRule="auto"/>
        <w:ind w:right="53"/>
        <w:rPr>
          <w:color w:val="auto"/>
        </w:rPr>
      </w:pPr>
      <w:r w:rsidRPr="00F4418F">
        <w:rPr>
          <w:color w:val="auto"/>
        </w:rPr>
        <w:t xml:space="preserve">Sympathomimetics and </w:t>
      </w:r>
      <w:proofErr w:type="spellStart"/>
      <w:r w:rsidRPr="00F4418F">
        <w:rPr>
          <w:color w:val="auto"/>
        </w:rPr>
        <w:t>sympatholytics</w:t>
      </w:r>
      <w:proofErr w:type="spellEnd"/>
      <w:r w:rsidRPr="00F4418F">
        <w:rPr>
          <w:color w:val="auto"/>
        </w:rPr>
        <w:t>. Catecholamines. α</w:t>
      </w:r>
      <w:r w:rsidRPr="00F4418F">
        <w:rPr>
          <w:color w:val="auto"/>
          <w:lang w:val="ru-RU"/>
        </w:rPr>
        <w:t xml:space="preserve">- </w:t>
      </w:r>
      <w:r w:rsidRPr="00F4418F">
        <w:rPr>
          <w:color w:val="auto"/>
        </w:rPr>
        <w:t>and β-</w:t>
      </w:r>
      <w:proofErr w:type="spellStart"/>
      <w:r w:rsidRPr="00F4418F">
        <w:rPr>
          <w:color w:val="auto"/>
        </w:rPr>
        <w:t>adrenomimetics</w:t>
      </w:r>
      <w:proofErr w:type="spellEnd"/>
      <w:r w:rsidRPr="00F4418F">
        <w:rPr>
          <w:color w:val="auto"/>
        </w:rPr>
        <w:t>. α</w:t>
      </w:r>
      <w:r w:rsidRPr="00F4418F">
        <w:rPr>
          <w:color w:val="auto"/>
          <w:lang w:val="ru-RU"/>
        </w:rPr>
        <w:t xml:space="preserve">- </w:t>
      </w:r>
      <w:r w:rsidRPr="00F4418F">
        <w:rPr>
          <w:color w:val="auto"/>
        </w:rPr>
        <w:t>and β-</w:t>
      </w:r>
      <w:proofErr w:type="spellStart"/>
      <w:r w:rsidRPr="00F4418F">
        <w:rPr>
          <w:color w:val="auto"/>
        </w:rPr>
        <w:t>adrenoblockers</w:t>
      </w:r>
      <w:proofErr w:type="spellEnd"/>
      <w:r w:rsidRPr="00F4418F">
        <w:rPr>
          <w:color w:val="auto"/>
        </w:rPr>
        <w:t xml:space="preserve">. </w:t>
      </w:r>
    </w:p>
    <w:p w14:paraId="4860DA1C" w14:textId="77777777" w:rsidR="00F620EE" w:rsidRPr="00F4418F" w:rsidRDefault="00AB32C0" w:rsidP="006D2BBD">
      <w:pPr>
        <w:pStyle w:val="Body"/>
        <w:numPr>
          <w:ilvl w:val="0"/>
          <w:numId w:val="2"/>
        </w:numPr>
        <w:spacing w:after="0" w:line="360" w:lineRule="auto"/>
        <w:ind w:right="53"/>
        <w:rPr>
          <w:color w:val="auto"/>
        </w:rPr>
      </w:pPr>
      <w:r w:rsidRPr="00F4418F">
        <w:rPr>
          <w:color w:val="auto"/>
        </w:rPr>
        <w:t xml:space="preserve">Antihypertensive drugs. Calcium antagonists and vasodilators. Angiotensin-converting enzyme inhibitors (ACEI). </w:t>
      </w:r>
    </w:p>
    <w:p w14:paraId="469C2EA7" w14:textId="77777777" w:rsidR="00F620EE" w:rsidRPr="00F4418F" w:rsidRDefault="00AB32C0" w:rsidP="006D2BBD">
      <w:pPr>
        <w:pStyle w:val="Body"/>
        <w:numPr>
          <w:ilvl w:val="0"/>
          <w:numId w:val="2"/>
        </w:numPr>
        <w:spacing w:after="0" w:line="360" w:lineRule="auto"/>
        <w:ind w:right="53"/>
        <w:rPr>
          <w:color w:val="auto"/>
        </w:rPr>
      </w:pPr>
      <w:r w:rsidRPr="00F4418F">
        <w:rPr>
          <w:color w:val="auto"/>
        </w:rPr>
        <w:t xml:space="preserve">Diuretics. Cardiotonic (positive ionotropic) agents. Antianginal drugs.  </w:t>
      </w:r>
    </w:p>
    <w:p w14:paraId="70B68545" w14:textId="77777777" w:rsidR="00F620EE" w:rsidRPr="00F4418F" w:rsidRDefault="00AB32C0" w:rsidP="006D2BBD">
      <w:pPr>
        <w:pStyle w:val="Body"/>
        <w:numPr>
          <w:ilvl w:val="0"/>
          <w:numId w:val="2"/>
        </w:numPr>
        <w:spacing w:after="0" w:line="360" w:lineRule="auto"/>
        <w:ind w:right="53"/>
        <w:rPr>
          <w:color w:val="auto"/>
        </w:rPr>
      </w:pPr>
      <w:r w:rsidRPr="00F4418F">
        <w:rPr>
          <w:color w:val="auto"/>
        </w:rPr>
        <w:t xml:space="preserve">Lipid-lowering agents.  </w:t>
      </w:r>
    </w:p>
    <w:p w14:paraId="2523A8A5" w14:textId="77777777" w:rsidR="00F620EE" w:rsidRPr="00F4418F" w:rsidRDefault="00AB32C0" w:rsidP="006D2BBD">
      <w:pPr>
        <w:pStyle w:val="Body"/>
        <w:numPr>
          <w:ilvl w:val="0"/>
          <w:numId w:val="2"/>
        </w:numPr>
        <w:spacing w:after="0" w:line="360" w:lineRule="auto"/>
        <w:ind w:left="385" w:right="51" w:hanging="357"/>
        <w:rPr>
          <w:color w:val="auto"/>
        </w:rPr>
      </w:pPr>
      <w:proofErr w:type="spellStart"/>
      <w:r w:rsidRPr="00F4418F">
        <w:rPr>
          <w:color w:val="auto"/>
        </w:rPr>
        <w:t>Antihemorrhaging</w:t>
      </w:r>
      <w:proofErr w:type="spellEnd"/>
      <w:r w:rsidRPr="00F4418F">
        <w:rPr>
          <w:color w:val="auto"/>
        </w:rPr>
        <w:t xml:space="preserve"> (</w:t>
      </w:r>
      <w:proofErr w:type="spellStart"/>
      <w:r w:rsidRPr="00F4418F">
        <w:rPr>
          <w:color w:val="auto"/>
        </w:rPr>
        <w:t>haemostatic</w:t>
      </w:r>
      <w:proofErr w:type="spellEnd"/>
      <w:r w:rsidRPr="00F4418F">
        <w:rPr>
          <w:color w:val="auto"/>
        </w:rPr>
        <w:t xml:space="preserve">) drugs. Antifibrinolytics. Anticoagulants. Antiplatelet drugs. Thrombolytic (fibrinolytic) drugs. </w:t>
      </w:r>
    </w:p>
    <w:p w14:paraId="64099017" w14:textId="77777777" w:rsidR="00F620EE" w:rsidRPr="00F4418F" w:rsidRDefault="00AB32C0" w:rsidP="006D2BBD">
      <w:pPr>
        <w:pStyle w:val="Body"/>
        <w:numPr>
          <w:ilvl w:val="0"/>
          <w:numId w:val="2"/>
        </w:numPr>
        <w:spacing w:after="0" w:line="360" w:lineRule="auto"/>
        <w:ind w:left="385" w:right="51" w:hanging="357"/>
        <w:rPr>
          <w:color w:val="auto"/>
        </w:rPr>
      </w:pPr>
      <w:proofErr w:type="spellStart"/>
      <w:r w:rsidRPr="00F4418F">
        <w:rPr>
          <w:color w:val="auto"/>
        </w:rPr>
        <w:t>Antiasthmatic</w:t>
      </w:r>
      <w:proofErr w:type="spellEnd"/>
      <w:r w:rsidRPr="00F4418F">
        <w:rPr>
          <w:color w:val="auto"/>
        </w:rPr>
        <w:t xml:space="preserve"> drugs. Bronchodilators. Anti-inflammatory agents. Mast cell stabilizers. </w:t>
      </w:r>
    </w:p>
    <w:p w14:paraId="5DE9AD80" w14:textId="77777777" w:rsidR="00F620EE" w:rsidRPr="00F4418F" w:rsidRDefault="00AB32C0" w:rsidP="006D2BBD">
      <w:pPr>
        <w:pStyle w:val="Body"/>
        <w:numPr>
          <w:ilvl w:val="0"/>
          <w:numId w:val="2"/>
        </w:numPr>
        <w:spacing w:after="0" w:line="360" w:lineRule="auto"/>
        <w:ind w:left="385" w:right="51" w:hanging="357"/>
        <w:rPr>
          <w:color w:val="auto"/>
        </w:rPr>
      </w:pPr>
      <w:r w:rsidRPr="00F4418F">
        <w:rPr>
          <w:color w:val="auto"/>
        </w:rPr>
        <w:t xml:space="preserve">Antitussive drugs. Expectorants and mucolytics. </w:t>
      </w:r>
    </w:p>
    <w:p w14:paraId="68B1FDF6" w14:textId="77777777" w:rsidR="00F620EE" w:rsidRPr="00F4418F" w:rsidRDefault="00AB32C0" w:rsidP="006D2BBD">
      <w:pPr>
        <w:pStyle w:val="Body"/>
        <w:numPr>
          <w:ilvl w:val="0"/>
          <w:numId w:val="2"/>
        </w:numPr>
        <w:spacing w:after="0" w:line="360" w:lineRule="auto"/>
        <w:ind w:left="385" w:right="51" w:hanging="357"/>
        <w:rPr>
          <w:color w:val="auto"/>
        </w:rPr>
      </w:pPr>
      <w:r w:rsidRPr="00F4418F">
        <w:rPr>
          <w:color w:val="auto"/>
        </w:rPr>
        <w:t xml:space="preserve">Antihistamine and antiallergic drugs. H1 </w:t>
      </w:r>
      <w:proofErr w:type="spellStart"/>
      <w:r w:rsidRPr="00F4418F">
        <w:rPr>
          <w:color w:val="auto"/>
        </w:rPr>
        <w:t>antagonosts</w:t>
      </w:r>
      <w:proofErr w:type="spellEnd"/>
      <w:r w:rsidRPr="00F4418F">
        <w:rPr>
          <w:color w:val="auto"/>
        </w:rPr>
        <w:t xml:space="preserve">. </w:t>
      </w:r>
    </w:p>
    <w:p w14:paraId="0F68A6E1" w14:textId="77777777" w:rsidR="00F620EE" w:rsidRPr="00F4418F" w:rsidRDefault="00AB32C0" w:rsidP="006D2BBD">
      <w:pPr>
        <w:pStyle w:val="Body"/>
        <w:numPr>
          <w:ilvl w:val="0"/>
          <w:numId w:val="2"/>
        </w:numPr>
        <w:spacing w:after="0" w:line="360" w:lineRule="auto"/>
        <w:ind w:left="385" w:right="51" w:hanging="357"/>
        <w:rPr>
          <w:color w:val="auto"/>
        </w:rPr>
      </w:pPr>
      <w:r w:rsidRPr="00F4418F">
        <w:rPr>
          <w:color w:val="auto"/>
        </w:rPr>
        <w:lastRenderedPageBreak/>
        <w:t>Antiulcer drugs. H2 antagonists. Selective muscarinic antagonists. Proton pump inhibitors (PPI). Antiemetic drugs.</w:t>
      </w:r>
    </w:p>
    <w:p w14:paraId="3CD6B76B" w14:textId="77777777" w:rsidR="00F620EE" w:rsidRPr="00F4418F" w:rsidRDefault="00AB32C0" w:rsidP="006D2BBD">
      <w:pPr>
        <w:pStyle w:val="Body"/>
        <w:numPr>
          <w:ilvl w:val="0"/>
          <w:numId w:val="2"/>
        </w:numPr>
        <w:spacing w:after="0" w:line="360" w:lineRule="auto"/>
        <w:ind w:left="385" w:right="51" w:hanging="357"/>
        <w:rPr>
          <w:color w:val="auto"/>
        </w:rPr>
      </w:pPr>
      <w:r w:rsidRPr="00F4418F">
        <w:rPr>
          <w:color w:val="auto"/>
        </w:rPr>
        <w:t>Endocrine drugs. Antidiabetic drugs. Corticosteroids. Sex hormones.</w:t>
      </w:r>
    </w:p>
    <w:p w14:paraId="144747C2" w14:textId="77777777" w:rsidR="00F620EE" w:rsidRPr="00F4418F" w:rsidRDefault="00AB32C0" w:rsidP="006D2BBD">
      <w:pPr>
        <w:pStyle w:val="Body"/>
        <w:numPr>
          <w:ilvl w:val="0"/>
          <w:numId w:val="2"/>
        </w:numPr>
        <w:spacing w:after="0" w:line="360" w:lineRule="auto"/>
        <w:ind w:left="385" w:right="51" w:hanging="357"/>
        <w:rPr>
          <w:color w:val="auto"/>
        </w:rPr>
      </w:pPr>
      <w:r w:rsidRPr="00F4418F">
        <w:rPr>
          <w:color w:val="auto"/>
        </w:rPr>
        <w:t xml:space="preserve">Antibacterial drugs. Sulfonamides, pyrimidines, quinolones, and </w:t>
      </w:r>
      <w:proofErr w:type="spellStart"/>
      <w:r w:rsidRPr="00F4418F">
        <w:rPr>
          <w:color w:val="auto"/>
        </w:rPr>
        <w:t>nitrofurane</w:t>
      </w:r>
      <w:proofErr w:type="spellEnd"/>
      <w:r w:rsidRPr="00F4418F">
        <w:rPr>
          <w:color w:val="auto"/>
        </w:rPr>
        <w:t xml:space="preserve"> derivatives. </w:t>
      </w:r>
    </w:p>
    <w:p w14:paraId="0D98A6AF" w14:textId="410B39C5" w:rsidR="00F620EE" w:rsidRPr="00F4418F" w:rsidRDefault="00AB32C0" w:rsidP="006D2BBD">
      <w:pPr>
        <w:pStyle w:val="Body"/>
        <w:numPr>
          <w:ilvl w:val="0"/>
          <w:numId w:val="2"/>
        </w:numPr>
        <w:spacing w:after="0" w:line="360" w:lineRule="auto"/>
        <w:ind w:left="385" w:right="51" w:hanging="357"/>
        <w:rPr>
          <w:color w:val="auto"/>
        </w:rPr>
      </w:pPr>
      <w:r w:rsidRPr="00F4418F">
        <w:rPr>
          <w:color w:val="auto"/>
        </w:rPr>
        <w:t>Antibiotics.</w:t>
      </w:r>
      <w:r w:rsidR="005C0336" w:rsidRPr="00F4418F">
        <w:rPr>
          <w:color w:val="auto"/>
        </w:rPr>
        <w:t xml:space="preserve"> </w:t>
      </w:r>
      <w:r w:rsidRPr="00F4418F">
        <w:rPr>
          <w:color w:val="auto"/>
        </w:rPr>
        <w:t xml:space="preserve"> β-lactam antibiotics. Aminoglycosides. Tetracyclines. Macrolides. </w:t>
      </w:r>
      <w:proofErr w:type="spellStart"/>
      <w:r w:rsidRPr="00F4418F">
        <w:rPr>
          <w:color w:val="auto"/>
        </w:rPr>
        <w:t>Ansamycins</w:t>
      </w:r>
      <w:proofErr w:type="spellEnd"/>
      <w:r w:rsidRPr="00F4418F">
        <w:rPr>
          <w:color w:val="auto"/>
        </w:rPr>
        <w:t xml:space="preserve">. </w:t>
      </w:r>
      <w:proofErr w:type="spellStart"/>
      <w:r w:rsidRPr="00F4418F">
        <w:rPr>
          <w:color w:val="auto"/>
        </w:rPr>
        <w:t>Chloramphenicols</w:t>
      </w:r>
      <w:proofErr w:type="spellEnd"/>
      <w:r w:rsidRPr="00F4418F">
        <w:rPr>
          <w:color w:val="auto"/>
        </w:rPr>
        <w:t xml:space="preserve">. </w:t>
      </w:r>
    </w:p>
    <w:p w14:paraId="343F4CCF" w14:textId="77777777" w:rsidR="00F620EE" w:rsidRPr="00F4418F" w:rsidRDefault="00AB32C0" w:rsidP="006D2BBD">
      <w:pPr>
        <w:pStyle w:val="Body"/>
        <w:numPr>
          <w:ilvl w:val="0"/>
          <w:numId w:val="2"/>
        </w:numPr>
        <w:spacing w:after="0" w:line="360" w:lineRule="auto"/>
        <w:ind w:right="53"/>
        <w:rPr>
          <w:color w:val="auto"/>
        </w:rPr>
      </w:pPr>
      <w:r w:rsidRPr="00F4418F">
        <w:rPr>
          <w:color w:val="auto"/>
        </w:rPr>
        <w:t xml:space="preserve">Antimycobacterial and </w:t>
      </w:r>
      <w:proofErr w:type="spellStart"/>
      <w:r w:rsidRPr="00F4418F">
        <w:rPr>
          <w:color w:val="auto"/>
        </w:rPr>
        <w:t>antileprosy</w:t>
      </w:r>
      <w:proofErr w:type="spellEnd"/>
      <w:r w:rsidRPr="00F4418F">
        <w:rPr>
          <w:color w:val="auto"/>
        </w:rPr>
        <w:t xml:space="preserve"> drugs. Antiprotozoal and antimalarial drugs. Drugs for the treatment of amebiasis, leishmaniasis, and trypanosomiasis.</w:t>
      </w:r>
    </w:p>
    <w:p w14:paraId="7B7274BE" w14:textId="77777777" w:rsidR="00F620EE" w:rsidRPr="00F4418F" w:rsidRDefault="00AB32C0" w:rsidP="006D2BBD">
      <w:pPr>
        <w:pStyle w:val="Body"/>
        <w:numPr>
          <w:ilvl w:val="0"/>
          <w:numId w:val="2"/>
        </w:numPr>
        <w:spacing w:after="0" w:line="360" w:lineRule="auto"/>
        <w:ind w:right="53"/>
        <w:rPr>
          <w:color w:val="auto"/>
        </w:rPr>
      </w:pPr>
      <w:r w:rsidRPr="00F4418F">
        <w:rPr>
          <w:color w:val="auto"/>
        </w:rPr>
        <w:t xml:space="preserve">Antifungal drugs.  </w:t>
      </w:r>
      <w:bookmarkStart w:id="1" w:name="_GoBack"/>
      <w:bookmarkEnd w:id="1"/>
    </w:p>
    <w:p w14:paraId="70F58B2A" w14:textId="77777777" w:rsidR="00F620EE" w:rsidRPr="00F4418F" w:rsidRDefault="00AB32C0" w:rsidP="006D2BBD">
      <w:pPr>
        <w:pStyle w:val="Body"/>
        <w:numPr>
          <w:ilvl w:val="0"/>
          <w:numId w:val="2"/>
        </w:numPr>
        <w:spacing w:after="0" w:line="360" w:lineRule="auto"/>
        <w:ind w:right="53"/>
        <w:rPr>
          <w:color w:val="auto"/>
        </w:rPr>
      </w:pPr>
      <w:r w:rsidRPr="00F4418F">
        <w:rPr>
          <w:color w:val="auto"/>
        </w:rPr>
        <w:t>Antineoplastic (anti-cancer) agents.</w:t>
      </w:r>
    </w:p>
    <w:p w14:paraId="7BC2E193" w14:textId="10CFA4F8" w:rsidR="00F620EE" w:rsidRPr="00F4418F" w:rsidRDefault="00AB32C0" w:rsidP="005C0336">
      <w:pPr>
        <w:pStyle w:val="Body"/>
        <w:numPr>
          <w:ilvl w:val="0"/>
          <w:numId w:val="2"/>
        </w:numPr>
        <w:spacing w:after="0" w:line="360" w:lineRule="auto"/>
        <w:ind w:right="53"/>
        <w:rPr>
          <w:color w:val="auto"/>
        </w:rPr>
      </w:pPr>
      <w:r w:rsidRPr="00F4418F">
        <w:rPr>
          <w:color w:val="auto"/>
        </w:rPr>
        <w:t xml:space="preserve">Antiviral drugs.  </w:t>
      </w:r>
    </w:p>
    <w:p w14:paraId="7E54D084" w14:textId="77777777" w:rsidR="00F620EE" w:rsidRPr="00F4418F" w:rsidRDefault="00AB32C0" w:rsidP="006D2BBD">
      <w:pPr>
        <w:pStyle w:val="Body"/>
        <w:spacing w:after="0" w:line="360" w:lineRule="auto"/>
        <w:ind w:left="0" w:firstLine="0"/>
        <w:jc w:val="left"/>
        <w:rPr>
          <w:color w:val="auto"/>
        </w:rPr>
      </w:pPr>
      <w:r w:rsidRPr="00F4418F">
        <w:rPr>
          <w:color w:val="auto"/>
        </w:rPr>
        <w:t>While discussing the above classes of drugs, the candidates must demonstrate knowledge of the following:</w:t>
      </w:r>
    </w:p>
    <w:p w14:paraId="16D04B92" w14:textId="77777777" w:rsidR="00F620EE" w:rsidRPr="00F4418F" w:rsidRDefault="00AB32C0" w:rsidP="006D2BBD">
      <w:pPr>
        <w:pStyle w:val="Body"/>
        <w:spacing w:after="0" w:line="360" w:lineRule="auto"/>
        <w:ind w:left="0" w:firstLine="0"/>
        <w:jc w:val="left"/>
        <w:rPr>
          <w:color w:val="auto"/>
        </w:rPr>
      </w:pPr>
      <w:r w:rsidRPr="00F4418F">
        <w:rPr>
          <w:color w:val="auto"/>
        </w:rPr>
        <w:t>1. General characteristics and chemical classification of the given class of drugs;</w:t>
      </w:r>
    </w:p>
    <w:p w14:paraId="4FEFDE01" w14:textId="77777777" w:rsidR="00F620EE" w:rsidRPr="00F4418F" w:rsidRDefault="00AB32C0" w:rsidP="006D2BBD">
      <w:pPr>
        <w:pStyle w:val="Body"/>
        <w:spacing w:after="0" w:line="360" w:lineRule="auto"/>
        <w:ind w:left="0" w:firstLine="0"/>
        <w:jc w:val="left"/>
        <w:rPr>
          <w:color w:val="auto"/>
        </w:rPr>
      </w:pPr>
      <w:r w:rsidRPr="00F4418F">
        <w:rPr>
          <w:color w:val="auto"/>
        </w:rPr>
        <w:t>2. Relationship between chemical structure and pharmacologic action;</w:t>
      </w:r>
    </w:p>
    <w:p w14:paraId="4024AE85" w14:textId="77777777" w:rsidR="00F620EE" w:rsidRPr="00F4418F" w:rsidRDefault="00AB32C0" w:rsidP="006D2BBD">
      <w:pPr>
        <w:pStyle w:val="Body"/>
        <w:spacing w:after="0" w:line="360" w:lineRule="auto"/>
        <w:ind w:left="0" w:firstLine="0"/>
        <w:jc w:val="left"/>
        <w:rPr>
          <w:color w:val="auto"/>
        </w:rPr>
      </w:pPr>
      <w:r w:rsidRPr="00F4418F">
        <w:rPr>
          <w:color w:val="auto"/>
        </w:rPr>
        <w:t>3. Chemical structure and INN (international nonproprietary name) of representative drugs in the group</w:t>
      </w:r>
    </w:p>
    <w:p w14:paraId="5A47FC35" w14:textId="77777777" w:rsidR="00F620EE" w:rsidRPr="00F4418F" w:rsidRDefault="00AB32C0" w:rsidP="006D2BBD">
      <w:pPr>
        <w:pStyle w:val="Body"/>
        <w:spacing w:after="0" w:line="360" w:lineRule="auto"/>
        <w:ind w:left="0" w:firstLine="0"/>
        <w:jc w:val="left"/>
        <w:rPr>
          <w:color w:val="auto"/>
        </w:rPr>
      </w:pPr>
      <w:r w:rsidRPr="00F4418F">
        <w:rPr>
          <w:color w:val="auto"/>
        </w:rPr>
        <w:t>4. Chemical synthesis of a representative drug from the group.</w:t>
      </w:r>
    </w:p>
    <w:p w14:paraId="16A35992" w14:textId="77777777" w:rsidR="00F620EE" w:rsidRPr="00F4418F" w:rsidRDefault="00AB32C0" w:rsidP="006D2BBD">
      <w:pPr>
        <w:pStyle w:val="Body"/>
        <w:spacing w:after="0" w:line="360" w:lineRule="auto"/>
        <w:ind w:left="0" w:firstLine="0"/>
        <w:jc w:val="left"/>
        <w:rPr>
          <w:color w:val="auto"/>
          <w:u w:color="2F5496"/>
        </w:rPr>
      </w:pPr>
      <w:r w:rsidRPr="00F4418F">
        <w:rPr>
          <w:color w:val="auto"/>
        </w:rPr>
        <w:t xml:space="preserve">5. </w:t>
      </w:r>
      <w:r w:rsidRPr="00F4418F">
        <w:rPr>
          <w:color w:val="auto"/>
          <w:u w:color="2F5496"/>
        </w:rPr>
        <w:t xml:space="preserve">Pharmaceutical analysis according to the EU (BP) pharmacopoeia of more significant representatives using the following methods, techniques, and approaches: </w:t>
      </w:r>
    </w:p>
    <w:p w14:paraId="13AFE120" w14:textId="77777777" w:rsidR="00F620EE" w:rsidRPr="00F4418F" w:rsidRDefault="00AB32C0" w:rsidP="005C0336">
      <w:pPr>
        <w:pStyle w:val="Body"/>
        <w:numPr>
          <w:ilvl w:val="1"/>
          <w:numId w:val="4"/>
        </w:numPr>
        <w:spacing w:after="0" w:line="360" w:lineRule="auto"/>
        <w:ind w:right="53"/>
        <w:rPr>
          <w:color w:val="auto"/>
        </w:rPr>
      </w:pPr>
      <w:r w:rsidRPr="00F4418F">
        <w:rPr>
          <w:color w:val="auto"/>
          <w:u w:color="2F5496"/>
        </w:rPr>
        <w:t>Spectral methods of analysis: Spectrophotometry in the visible and ultraviolet regions. Infrared spectroscopy. Raman spectroscopy. Nuclear magnetic resonance and mass spectrometry. Applications for the analysis of drug substances and products.</w:t>
      </w:r>
    </w:p>
    <w:p w14:paraId="5D5C4D1C" w14:textId="77777777" w:rsidR="00F620EE" w:rsidRPr="00F4418F" w:rsidRDefault="00AB32C0" w:rsidP="005C0336">
      <w:pPr>
        <w:pStyle w:val="Body"/>
        <w:numPr>
          <w:ilvl w:val="1"/>
          <w:numId w:val="4"/>
        </w:numPr>
        <w:spacing w:after="0" w:line="360" w:lineRule="auto"/>
        <w:ind w:right="53"/>
        <w:rPr>
          <w:color w:val="auto"/>
        </w:rPr>
      </w:pPr>
      <w:r w:rsidRPr="00F4418F">
        <w:rPr>
          <w:color w:val="auto"/>
          <w:u w:color="2F5496"/>
        </w:rPr>
        <w:t>Chromatographic methods for analysis. Principles of chromatographic separation. Chromatographic parameters. Types of chromatographic methods. Thin layer chromatography.  Gas chromatography. HPLC. Applications of chromatographic methods for the analysis of drug substances.</w:t>
      </w:r>
    </w:p>
    <w:p w14:paraId="1C29CA47" w14:textId="77777777" w:rsidR="005C0336" w:rsidRPr="00F4418F" w:rsidRDefault="00AB32C0" w:rsidP="005C0336">
      <w:pPr>
        <w:pStyle w:val="Body"/>
        <w:numPr>
          <w:ilvl w:val="1"/>
          <w:numId w:val="4"/>
        </w:numPr>
        <w:spacing w:after="0" w:line="360" w:lineRule="auto"/>
        <w:ind w:right="53"/>
        <w:rPr>
          <w:color w:val="auto"/>
        </w:rPr>
      </w:pPr>
      <w:r w:rsidRPr="00F4418F">
        <w:rPr>
          <w:color w:val="auto"/>
        </w:rPr>
        <w:t xml:space="preserve">Thermal analysis. Classification of the methods thereof. Differential scanning calorimetry (DSC). Applications of DSC. </w:t>
      </w:r>
    </w:p>
    <w:p w14:paraId="390705C3" w14:textId="1F55083D" w:rsidR="00F620EE" w:rsidRPr="00F4418F" w:rsidRDefault="00AB32C0" w:rsidP="005C0336">
      <w:pPr>
        <w:pStyle w:val="Body"/>
        <w:numPr>
          <w:ilvl w:val="1"/>
          <w:numId w:val="4"/>
        </w:numPr>
        <w:spacing w:after="0" w:line="360" w:lineRule="auto"/>
        <w:ind w:right="53"/>
        <w:rPr>
          <w:color w:val="auto"/>
        </w:rPr>
      </w:pPr>
      <w:r w:rsidRPr="00F4418F">
        <w:rPr>
          <w:color w:val="auto"/>
          <w:u w:color="2F5496"/>
        </w:rPr>
        <w:t xml:space="preserve">Quality control of drugs: </w:t>
      </w:r>
      <w:r w:rsidR="005C0336" w:rsidRPr="00F4418F">
        <w:rPr>
          <w:color w:val="auto"/>
          <w:u w:color="2F5496"/>
        </w:rPr>
        <w:t>pharmacopeial</w:t>
      </w:r>
      <w:r w:rsidRPr="00F4418F">
        <w:rPr>
          <w:color w:val="auto"/>
          <w:u w:color="2F5496"/>
        </w:rPr>
        <w:t xml:space="preserve"> methods for testing purity, impurities, and limits for the content of impurities. </w:t>
      </w:r>
    </w:p>
    <w:p w14:paraId="5D74D478" w14:textId="6905D1F8" w:rsidR="00F620EE" w:rsidRPr="00F4418F" w:rsidRDefault="00AB32C0" w:rsidP="005C0336">
      <w:pPr>
        <w:pStyle w:val="Body"/>
        <w:numPr>
          <w:ilvl w:val="1"/>
          <w:numId w:val="4"/>
        </w:numPr>
        <w:spacing w:after="0" w:line="360" w:lineRule="auto"/>
        <w:ind w:right="53"/>
        <w:rPr>
          <w:color w:val="auto"/>
        </w:rPr>
      </w:pPr>
      <w:r w:rsidRPr="00F4418F">
        <w:rPr>
          <w:color w:val="auto"/>
          <w:u w:color="2F5496"/>
        </w:rPr>
        <w:t xml:space="preserve">Basic </w:t>
      </w:r>
      <w:r w:rsidR="005C0336" w:rsidRPr="00F4418F">
        <w:rPr>
          <w:color w:val="auto"/>
          <w:u w:color="2F5496"/>
        </w:rPr>
        <w:t>pharmacopeial</w:t>
      </w:r>
      <w:r w:rsidRPr="00F4418F">
        <w:rPr>
          <w:color w:val="auto"/>
          <w:u w:color="2F5496"/>
        </w:rPr>
        <w:t xml:space="preserve"> identity tests. Ion and Functional Group Identity Tests.</w:t>
      </w:r>
    </w:p>
    <w:p w14:paraId="6607D622" w14:textId="5E960A26" w:rsidR="00F620EE" w:rsidRPr="00F4418F" w:rsidRDefault="00AB32C0" w:rsidP="005C0336">
      <w:pPr>
        <w:pStyle w:val="Body"/>
        <w:numPr>
          <w:ilvl w:val="1"/>
          <w:numId w:val="4"/>
        </w:numPr>
        <w:spacing w:after="0" w:line="360" w:lineRule="auto"/>
        <w:ind w:right="53"/>
        <w:rPr>
          <w:color w:val="auto"/>
        </w:rPr>
      </w:pPr>
      <w:r w:rsidRPr="00F4418F">
        <w:rPr>
          <w:color w:val="auto"/>
          <w:u w:color="2F5496"/>
        </w:rPr>
        <w:t>Analytical method validation.</w:t>
      </w:r>
    </w:p>
    <w:p w14:paraId="3D102ACC" w14:textId="099803E5" w:rsidR="00935FE8" w:rsidRPr="00F4418F" w:rsidRDefault="00935FE8" w:rsidP="00935FE8">
      <w:pPr>
        <w:pStyle w:val="Body"/>
        <w:spacing w:after="0" w:line="360" w:lineRule="auto"/>
        <w:ind w:right="53"/>
        <w:rPr>
          <w:color w:val="auto"/>
        </w:rPr>
      </w:pPr>
    </w:p>
    <w:p w14:paraId="67853096" w14:textId="77777777" w:rsidR="00F57B0D" w:rsidRPr="00F4418F" w:rsidRDefault="00F57B0D" w:rsidP="00F57B0D">
      <w:pPr>
        <w:pStyle w:val="BodyText"/>
        <w:spacing w:before="360"/>
        <w:rPr>
          <w:rFonts w:ascii="Calibri" w:hAnsi="Calibri" w:cs="Calibri"/>
          <w:b/>
          <w:bCs/>
          <w:i/>
          <w:iCs/>
          <w:sz w:val="24"/>
          <w:szCs w:val="24"/>
        </w:rPr>
      </w:pPr>
      <w:r w:rsidRPr="00F4418F">
        <w:rPr>
          <w:rFonts w:ascii="Calibri" w:hAnsi="Calibri" w:cs="Calibri"/>
          <w:b/>
          <w:bCs/>
          <w:i/>
          <w:iCs/>
          <w:sz w:val="24"/>
          <w:szCs w:val="24"/>
          <w:lang w:val="en"/>
        </w:rPr>
        <w:t xml:space="preserve">Bibliography </w:t>
      </w:r>
    </w:p>
    <w:p w14:paraId="7BA5CB85" w14:textId="77777777" w:rsidR="00F57B0D" w:rsidRPr="00F4418F" w:rsidRDefault="00F57B0D" w:rsidP="00F57B0D">
      <w:pPr>
        <w:pStyle w:val="BodyText"/>
        <w:spacing w:before="360"/>
        <w:jc w:val="left"/>
        <w:rPr>
          <w:rFonts w:ascii="Calibri" w:hAnsi="Calibri" w:cs="Calibri"/>
          <w:b/>
          <w:bCs/>
          <w:i/>
          <w:iCs/>
          <w:sz w:val="24"/>
          <w:szCs w:val="24"/>
        </w:rPr>
      </w:pPr>
      <w:r w:rsidRPr="00F4418F">
        <w:rPr>
          <w:rFonts w:ascii="Calibri" w:hAnsi="Calibri" w:cs="Calibri"/>
          <w:b/>
          <w:bCs/>
          <w:i/>
          <w:iCs/>
          <w:sz w:val="24"/>
          <w:szCs w:val="24"/>
          <w:lang w:val="en"/>
        </w:rPr>
        <w:t>Main:</w:t>
      </w:r>
    </w:p>
    <w:p w14:paraId="5B664A19" w14:textId="77777777" w:rsidR="00F57B0D" w:rsidRPr="00F4418F" w:rsidRDefault="00F57B0D" w:rsidP="00F57B0D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Calibri" w:hAnsi="Calibri" w:cs="Calibri"/>
          <w:lang w:val="bg-BG"/>
        </w:rPr>
      </w:pPr>
      <w:r w:rsidRPr="00F4418F">
        <w:rPr>
          <w:rFonts w:ascii="Calibri" w:hAnsi="Calibri" w:cs="Calibri"/>
          <w:lang w:val="bg-BG"/>
        </w:rPr>
        <w:t xml:space="preserve">D. G. </w:t>
      </w:r>
      <w:proofErr w:type="spellStart"/>
      <w:r w:rsidRPr="00F4418F">
        <w:rPr>
          <w:rFonts w:ascii="Calibri" w:hAnsi="Calibri" w:cs="Calibri"/>
          <w:lang w:val="bg-BG"/>
        </w:rPr>
        <w:t>Watson</w:t>
      </w:r>
      <w:proofErr w:type="spellEnd"/>
      <w:r w:rsidRPr="00F4418F">
        <w:rPr>
          <w:rFonts w:ascii="Calibri" w:hAnsi="Calibri" w:cs="Calibri"/>
          <w:lang w:val="bg-BG"/>
        </w:rPr>
        <w:t xml:space="preserve">, </w:t>
      </w:r>
      <w:r w:rsidRPr="00F4418F">
        <w:rPr>
          <w:rFonts w:ascii="Calibri" w:hAnsi="Calibri" w:cs="Calibri"/>
          <w:i/>
          <w:lang w:val="bg-BG"/>
        </w:rPr>
        <w:t xml:space="preserve">Pharmaceutical </w:t>
      </w:r>
      <w:proofErr w:type="spellStart"/>
      <w:r w:rsidRPr="00F4418F">
        <w:rPr>
          <w:rFonts w:ascii="Calibri" w:hAnsi="Calibri" w:cs="Calibri"/>
          <w:i/>
          <w:lang w:val="bg-BG"/>
        </w:rPr>
        <w:t>Chemistry</w:t>
      </w:r>
      <w:proofErr w:type="spellEnd"/>
      <w:r w:rsidRPr="00F4418F">
        <w:rPr>
          <w:rFonts w:ascii="Calibri" w:hAnsi="Calibri" w:cs="Calibri"/>
          <w:lang w:val="bg-BG"/>
        </w:rPr>
        <w:t xml:space="preserve">, </w:t>
      </w:r>
      <w:proofErr w:type="spellStart"/>
      <w:r w:rsidRPr="00F4418F">
        <w:rPr>
          <w:rFonts w:ascii="Calibri" w:hAnsi="Calibri" w:cs="Calibri"/>
          <w:lang w:val="bg-BG"/>
        </w:rPr>
        <w:t>Elsevier</w:t>
      </w:r>
      <w:proofErr w:type="spellEnd"/>
      <w:r w:rsidRPr="00F4418F">
        <w:rPr>
          <w:rFonts w:ascii="Calibri" w:hAnsi="Calibri" w:cs="Calibri"/>
          <w:lang w:val="bg-BG"/>
        </w:rPr>
        <w:t>, 2011.</w:t>
      </w:r>
    </w:p>
    <w:p w14:paraId="7E35767F" w14:textId="77777777" w:rsidR="00F57B0D" w:rsidRPr="00F4418F" w:rsidRDefault="00F57B0D" w:rsidP="00F57B0D">
      <w:pPr>
        <w:pStyle w:val="ListParagraph"/>
        <w:widowControl w:val="0"/>
        <w:numPr>
          <w:ilvl w:val="0"/>
          <w:numId w:val="8"/>
        </w:numPr>
        <w:tabs>
          <w:tab w:val="left" w:pos="426"/>
        </w:tabs>
        <w:suppressAutoHyphens/>
        <w:autoSpaceDE w:val="0"/>
        <w:jc w:val="both"/>
        <w:rPr>
          <w:rFonts w:ascii="Calibri" w:hAnsi="Calibri" w:cs="Calibri"/>
          <w:lang w:val="bg-BG" w:eastAsia="en-GB"/>
        </w:rPr>
      </w:pPr>
      <w:r w:rsidRPr="00F4418F">
        <w:rPr>
          <w:rFonts w:ascii="Calibri" w:hAnsi="Calibri" w:cs="Calibri"/>
          <w:lang w:eastAsia="en-GB"/>
        </w:rPr>
        <w:t xml:space="preserve">D. G. Watson, </w:t>
      </w:r>
      <w:r w:rsidRPr="00F4418F">
        <w:rPr>
          <w:rFonts w:ascii="Calibri" w:hAnsi="Calibri" w:cs="Calibri"/>
          <w:i/>
          <w:lang w:eastAsia="en-GB"/>
        </w:rPr>
        <w:t>Pharmaceutical Analysis, A textbook for pharmacy students and pharmaceutical chemists,</w:t>
      </w:r>
      <w:r w:rsidRPr="00F4418F">
        <w:rPr>
          <w:rFonts w:ascii="Calibri" w:hAnsi="Calibri" w:cs="Calibri"/>
          <w:lang w:eastAsia="en-GB"/>
        </w:rPr>
        <w:t xml:space="preserve"> Churchill Livingstone, 2012</w:t>
      </w:r>
      <w:r w:rsidRPr="00F4418F">
        <w:rPr>
          <w:rFonts w:ascii="Calibri" w:hAnsi="Calibri" w:cs="Calibri"/>
          <w:lang w:val="bg-BG" w:eastAsia="en-GB"/>
        </w:rPr>
        <w:t>.</w:t>
      </w:r>
    </w:p>
    <w:p w14:paraId="4C7F4C77" w14:textId="77777777" w:rsidR="00F57B0D" w:rsidRPr="00F4418F" w:rsidRDefault="00F57B0D" w:rsidP="00F57B0D">
      <w:pPr>
        <w:pStyle w:val="BodyText"/>
        <w:spacing w:before="360"/>
        <w:jc w:val="left"/>
        <w:rPr>
          <w:rFonts w:ascii="Calibri" w:hAnsi="Calibri" w:cs="Calibri"/>
          <w:b/>
          <w:bCs/>
          <w:i/>
          <w:iCs/>
          <w:sz w:val="24"/>
          <w:szCs w:val="24"/>
        </w:rPr>
      </w:pPr>
      <w:r w:rsidRPr="00F4418F">
        <w:rPr>
          <w:rFonts w:ascii="Calibri" w:hAnsi="Calibri" w:cs="Calibri"/>
          <w:b/>
          <w:bCs/>
          <w:i/>
          <w:iCs/>
          <w:sz w:val="24"/>
          <w:szCs w:val="24"/>
          <w:lang w:val="en"/>
        </w:rPr>
        <w:t>Additional:</w:t>
      </w:r>
    </w:p>
    <w:p w14:paraId="2CA60396" w14:textId="77777777" w:rsidR="0093642E" w:rsidRPr="00F4418F" w:rsidRDefault="0093642E" w:rsidP="0093642E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F4418F">
        <w:rPr>
          <w:rFonts w:ascii="Calibri" w:hAnsi="Calibri" w:cs="Calibri"/>
        </w:rPr>
        <w:t>ICH Q2 (R1) Validation of Analytical Procedures: Text and Methodology. Harmonized Tripartite Guideline.</w:t>
      </w:r>
    </w:p>
    <w:p w14:paraId="77E46855" w14:textId="77777777" w:rsidR="0093642E" w:rsidRPr="00F4418F" w:rsidRDefault="0093642E" w:rsidP="0093642E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F4418F">
        <w:rPr>
          <w:rFonts w:ascii="Calibri" w:hAnsi="Calibri" w:cs="Calibri"/>
        </w:rPr>
        <w:t>GUIDELINE ON SUMMARY OF REQUIREMENTS FOR ACTIVE SUBSTANCES IN THE QUALITY, PART OF THE DOSSIER (February 2005).</w:t>
      </w:r>
    </w:p>
    <w:p w14:paraId="108372BA" w14:textId="77777777" w:rsidR="0093642E" w:rsidRPr="00F4418F" w:rsidRDefault="0093642E" w:rsidP="0093642E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F4418F">
        <w:rPr>
          <w:rFonts w:ascii="Calibri" w:hAnsi="Calibri" w:cs="Calibri"/>
        </w:rPr>
        <w:t>GUIDELINE ON EXCIPIENTS IN THE DOSSIER FOR APPLICATION FOR MARKETING AUTHORIZATION OF MEDICINAL PRODUCTS, January 2008.</w:t>
      </w:r>
    </w:p>
    <w:p w14:paraId="27DA0B1C" w14:textId="72E8FD5F" w:rsidR="00F57B0D" w:rsidRPr="00F4418F" w:rsidRDefault="00F57B0D" w:rsidP="00935FE8">
      <w:pPr>
        <w:pStyle w:val="Body"/>
        <w:spacing w:after="0" w:line="360" w:lineRule="auto"/>
        <w:ind w:right="53"/>
        <w:rPr>
          <w:color w:val="auto"/>
        </w:rPr>
      </w:pPr>
    </w:p>
    <w:p w14:paraId="32ECE500" w14:textId="77777777" w:rsidR="00F57B0D" w:rsidRPr="00F4418F" w:rsidRDefault="00F57B0D" w:rsidP="00F57B0D">
      <w:pPr>
        <w:widowControl w:val="0"/>
        <w:tabs>
          <w:tab w:val="left" w:pos="426"/>
        </w:tabs>
        <w:suppressAutoHyphens/>
        <w:autoSpaceDE w:val="0"/>
        <w:spacing w:before="100" w:beforeAutospacing="1" w:after="100" w:afterAutospacing="1"/>
        <w:jc w:val="both"/>
        <w:rPr>
          <w:rFonts w:ascii="Calibri" w:hAnsi="Calibri" w:cs="Calibri"/>
          <w:lang w:val="bg-BG" w:eastAsia="en-GB"/>
        </w:rPr>
      </w:pPr>
    </w:p>
    <w:p w14:paraId="0B7E6490" w14:textId="77777777" w:rsidR="00F57B0D" w:rsidRPr="00F4418F" w:rsidRDefault="00F57B0D" w:rsidP="00F57B0D">
      <w:pPr>
        <w:widowControl w:val="0"/>
        <w:tabs>
          <w:tab w:val="left" w:pos="426"/>
        </w:tabs>
        <w:suppressAutoHyphens/>
        <w:autoSpaceDE w:val="0"/>
        <w:spacing w:before="100" w:beforeAutospacing="1" w:after="100" w:afterAutospacing="1"/>
        <w:jc w:val="both"/>
        <w:rPr>
          <w:lang w:val="bg-BG"/>
        </w:rPr>
      </w:pPr>
    </w:p>
    <w:p w14:paraId="6F4D1B4C" w14:textId="77777777" w:rsidR="00F57B0D" w:rsidRPr="00F4418F" w:rsidRDefault="00F57B0D" w:rsidP="00935FE8">
      <w:pPr>
        <w:pStyle w:val="Body"/>
        <w:spacing w:after="0" w:line="360" w:lineRule="auto"/>
        <w:ind w:right="53"/>
        <w:rPr>
          <w:color w:val="auto"/>
        </w:rPr>
      </w:pPr>
    </w:p>
    <w:sectPr w:rsidR="00F57B0D" w:rsidRPr="00F4418F">
      <w:headerReference w:type="default" r:id="rId7"/>
      <w:footerReference w:type="default" r:id="rId8"/>
      <w:pgSz w:w="11900" w:h="16840"/>
      <w:pgMar w:top="1466" w:right="1356" w:bottom="717" w:left="141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C93C6D" w14:textId="77777777" w:rsidR="00163735" w:rsidRDefault="00163735">
      <w:r>
        <w:separator/>
      </w:r>
    </w:p>
  </w:endnote>
  <w:endnote w:type="continuationSeparator" w:id="0">
    <w:p w14:paraId="59850ECA" w14:textId="77777777" w:rsidR="00163735" w:rsidRDefault="00163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42936F" w14:textId="77777777" w:rsidR="00F620EE" w:rsidRDefault="00F620EE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8FC7C7" w14:textId="77777777" w:rsidR="00163735" w:rsidRDefault="00163735">
      <w:r>
        <w:separator/>
      </w:r>
    </w:p>
  </w:footnote>
  <w:footnote w:type="continuationSeparator" w:id="0">
    <w:p w14:paraId="1FC066D6" w14:textId="77777777" w:rsidR="00163735" w:rsidRDefault="001637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4B42F6" w14:textId="77777777" w:rsidR="00F620EE" w:rsidRDefault="00F620EE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D9732B"/>
    <w:multiLevelType w:val="hybridMultilevel"/>
    <w:tmpl w:val="AFAC04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CE1F8D"/>
    <w:multiLevelType w:val="hybridMultilevel"/>
    <w:tmpl w:val="412A41CA"/>
    <w:numStyleLink w:val="ImportedStyle1"/>
  </w:abstractNum>
  <w:abstractNum w:abstractNumId="2" w15:restartNumberingAfterBreak="0">
    <w:nsid w:val="3B4E67C5"/>
    <w:multiLevelType w:val="hybridMultilevel"/>
    <w:tmpl w:val="99E0C100"/>
    <w:styleLink w:val="ImportedStyle2"/>
    <w:lvl w:ilvl="0" w:tplc="AA005A02">
      <w:start w:val="1"/>
      <w:numFmt w:val="bullet"/>
      <w:lvlText w:val="•"/>
      <w:lvlJc w:val="left"/>
      <w:pPr>
        <w:ind w:left="370" w:hanging="37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1647EE2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BAAD29E">
      <w:start w:val="1"/>
      <w:numFmt w:val="bullet"/>
      <w:lvlText w:val="▪"/>
      <w:lvlJc w:val="left"/>
      <w:pPr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C9EB5A0">
      <w:start w:val="1"/>
      <w:numFmt w:val="bullet"/>
      <w:lvlText w:val="•"/>
      <w:lvlJc w:val="left"/>
      <w:pPr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4C84A0E">
      <w:start w:val="1"/>
      <w:numFmt w:val="bullet"/>
      <w:lvlText w:val="o"/>
      <w:lvlJc w:val="left"/>
      <w:pPr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926CB2E">
      <w:start w:val="1"/>
      <w:numFmt w:val="bullet"/>
      <w:lvlText w:val="▪"/>
      <w:lvlJc w:val="left"/>
      <w:pPr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62372">
      <w:start w:val="1"/>
      <w:numFmt w:val="bullet"/>
      <w:lvlText w:val="•"/>
      <w:lvlJc w:val="left"/>
      <w:pPr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D983F7C">
      <w:start w:val="1"/>
      <w:numFmt w:val="bullet"/>
      <w:lvlText w:val="o"/>
      <w:lvlJc w:val="left"/>
      <w:pPr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CECB12E">
      <w:start w:val="1"/>
      <w:numFmt w:val="bullet"/>
      <w:lvlText w:val="▪"/>
      <w:lvlJc w:val="left"/>
      <w:pPr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3FB07292"/>
    <w:multiLevelType w:val="hybridMultilevel"/>
    <w:tmpl w:val="412A41CA"/>
    <w:styleLink w:val="ImportedStyle1"/>
    <w:lvl w:ilvl="0" w:tplc="6FB4BCF2">
      <w:start w:val="1"/>
      <w:numFmt w:val="decimal"/>
      <w:lvlText w:val="%1."/>
      <w:lvlJc w:val="left"/>
      <w:pPr>
        <w:ind w:left="391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246063C">
      <w:start w:val="1"/>
      <w:numFmt w:val="lowerLetter"/>
      <w:lvlText w:val="%2."/>
      <w:lvlJc w:val="left"/>
      <w:pPr>
        <w:ind w:left="1126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4CE73B8">
      <w:start w:val="1"/>
      <w:numFmt w:val="lowerRoman"/>
      <w:lvlText w:val="%3."/>
      <w:lvlJc w:val="left"/>
      <w:pPr>
        <w:ind w:left="1846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3748F5E">
      <w:start w:val="1"/>
      <w:numFmt w:val="decimal"/>
      <w:lvlText w:val="%4."/>
      <w:lvlJc w:val="left"/>
      <w:pPr>
        <w:ind w:left="2566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AB892DA">
      <w:start w:val="1"/>
      <w:numFmt w:val="lowerLetter"/>
      <w:lvlText w:val="%5."/>
      <w:lvlJc w:val="left"/>
      <w:pPr>
        <w:ind w:left="3286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C68D944">
      <w:start w:val="1"/>
      <w:numFmt w:val="lowerRoman"/>
      <w:lvlText w:val="%6."/>
      <w:lvlJc w:val="left"/>
      <w:pPr>
        <w:ind w:left="4006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0DA6884">
      <w:start w:val="1"/>
      <w:numFmt w:val="decimal"/>
      <w:lvlText w:val="%7."/>
      <w:lvlJc w:val="left"/>
      <w:pPr>
        <w:ind w:left="4726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1089E1C">
      <w:start w:val="1"/>
      <w:numFmt w:val="lowerLetter"/>
      <w:lvlText w:val="%8."/>
      <w:lvlJc w:val="left"/>
      <w:pPr>
        <w:ind w:left="5446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EF6E1AA">
      <w:start w:val="1"/>
      <w:numFmt w:val="lowerRoman"/>
      <w:lvlText w:val="%9."/>
      <w:lvlJc w:val="left"/>
      <w:pPr>
        <w:ind w:left="6166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5DC353F6"/>
    <w:multiLevelType w:val="hybridMultilevel"/>
    <w:tmpl w:val="99E0C100"/>
    <w:numStyleLink w:val="ImportedStyle2"/>
  </w:abstractNum>
  <w:abstractNum w:abstractNumId="5" w15:restartNumberingAfterBreak="0">
    <w:nsid w:val="687F1169"/>
    <w:multiLevelType w:val="hybridMultilevel"/>
    <w:tmpl w:val="AAF609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F03DC8"/>
    <w:multiLevelType w:val="multilevel"/>
    <w:tmpl w:val="14C2D3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 w15:restartNumberingAfterBreak="0">
    <w:nsid w:val="776F40CD"/>
    <w:multiLevelType w:val="hybridMultilevel"/>
    <w:tmpl w:val="6144CA14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0EE"/>
    <w:rsid w:val="000D3189"/>
    <w:rsid w:val="000D5410"/>
    <w:rsid w:val="00163735"/>
    <w:rsid w:val="001877DB"/>
    <w:rsid w:val="002907E7"/>
    <w:rsid w:val="004938E6"/>
    <w:rsid w:val="0057256F"/>
    <w:rsid w:val="005C0336"/>
    <w:rsid w:val="006D2BBD"/>
    <w:rsid w:val="00935FE8"/>
    <w:rsid w:val="0093642E"/>
    <w:rsid w:val="009A1731"/>
    <w:rsid w:val="00AB32C0"/>
    <w:rsid w:val="00C46604"/>
    <w:rsid w:val="00C8277A"/>
    <w:rsid w:val="00E2156D"/>
    <w:rsid w:val="00F4418F"/>
    <w:rsid w:val="00F57B0D"/>
    <w:rsid w:val="00F62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6881E9"/>
  <w15:docId w15:val="{ED1064D3-F360-4555-9123-E47A3E2B2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after="27" w:line="250" w:lineRule="auto"/>
      <w:ind w:left="416" w:hanging="370"/>
      <w:jc w:val="both"/>
    </w:pPr>
    <w:rPr>
      <w:rFonts w:ascii="Calibri" w:hAnsi="Calibri"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paragraph" w:styleId="ListParagraph">
    <w:name w:val="List Paragraph"/>
    <w:basedOn w:val="Normal"/>
    <w:uiPriority w:val="34"/>
    <w:qFormat/>
    <w:rsid w:val="00F57B0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</w:rPr>
  </w:style>
  <w:style w:type="paragraph" w:styleId="BodyText">
    <w:name w:val="Body Text"/>
    <w:basedOn w:val="Normal"/>
    <w:link w:val="BodyTextChar"/>
    <w:rsid w:val="00F57B0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</w:pPr>
    <w:rPr>
      <w:rFonts w:ascii="MS Sans Serif" w:eastAsia="Times New Roman" w:hAnsi="MS Sans Serif" w:cs="MS Sans Serif"/>
      <w:sz w:val="28"/>
      <w:szCs w:val="28"/>
      <w:bdr w:val="none" w:sz="0" w:space="0" w:color="auto"/>
      <w:lang w:val="bg-BG" w:eastAsia="zh-CN"/>
    </w:rPr>
  </w:style>
  <w:style w:type="character" w:customStyle="1" w:styleId="BodyTextChar">
    <w:name w:val="Body Text Char"/>
    <w:basedOn w:val="DefaultParagraphFont"/>
    <w:link w:val="BodyText"/>
    <w:rsid w:val="00F57B0D"/>
    <w:rPr>
      <w:rFonts w:ascii="MS Sans Serif" w:eastAsia="Times New Roman" w:hAnsi="MS Sans Serif" w:cs="MS Sans Serif"/>
      <w:sz w:val="28"/>
      <w:szCs w:val="28"/>
      <w:bdr w:val="none" w:sz="0" w:space="0" w:color="auto"/>
      <w:lang w:val="bg-BG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625</Words>
  <Characters>3564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Quantum</dc:creator>
  <cp:lastModifiedBy>Quantum</cp:lastModifiedBy>
  <cp:revision>3</cp:revision>
  <dcterms:created xsi:type="dcterms:W3CDTF">2023-05-12T09:41:00Z</dcterms:created>
  <dcterms:modified xsi:type="dcterms:W3CDTF">2023-05-12T10:23:00Z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734cfd4083c8883dde0c625b39058237969df7c40428497946889366befd8066</vt:lpwstr>
  </property>
</Properties>
</file>