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90A00">
        <w:trPr>
          <w:cantSplit/>
          <w:trHeight w:val="340"/>
        </w:trPr>
        <w:tc>
          <w:tcPr>
            <w:tcW w:w="2834" w:type="dxa"/>
            <w:vAlign w:val="center"/>
          </w:tcPr>
          <w:p w:rsidR="00E90A00" w:rsidRDefault="00E90A00">
            <w:pPr>
              <w:pStyle w:val="ECVPersonalInfoHeading"/>
              <w:rPr>
                <w:rFonts w:cs="Times New Roman"/>
              </w:rPr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vAlign w:val="center"/>
          </w:tcPr>
          <w:p w:rsidR="00E90A00" w:rsidRDefault="00E90A00" w:rsidP="0039075F">
            <w:pPr>
              <w:pStyle w:val="ECVNameField"/>
            </w:pPr>
            <w:r>
              <w:t xml:space="preserve">Zaharieva, Joana </w:t>
            </w:r>
          </w:p>
        </w:tc>
      </w:tr>
      <w:tr w:rsidR="00E90A00">
        <w:trPr>
          <w:cantSplit/>
          <w:trHeight w:hRule="exact" w:val="227"/>
        </w:trPr>
        <w:tc>
          <w:tcPr>
            <w:tcW w:w="10375" w:type="dxa"/>
            <w:gridSpan w:val="2"/>
          </w:tcPr>
          <w:p w:rsidR="00E90A00" w:rsidRDefault="00E90A00">
            <w:pPr>
              <w:pStyle w:val="ECVComments"/>
              <w:rPr>
                <w:rFonts w:cs="Times New Roman"/>
              </w:rPr>
            </w:pPr>
          </w:p>
        </w:tc>
      </w:tr>
      <w:tr w:rsidR="00E90A00">
        <w:trPr>
          <w:cantSplit/>
          <w:trHeight w:val="340"/>
        </w:trPr>
        <w:tc>
          <w:tcPr>
            <w:tcW w:w="2834" w:type="dxa"/>
            <w:vMerge w:val="restart"/>
          </w:tcPr>
          <w:p w:rsidR="00E90A00" w:rsidRDefault="00216E54">
            <w:pPr>
              <w:pStyle w:val="ECVLeftHeading"/>
            </w:pPr>
            <w:r>
              <w:rPr>
                <w:rFonts w:cs="Times New Roman"/>
                <w:noProof/>
                <w:lang w:val="en-US" w:eastAsia="en-US"/>
              </w:rPr>
              <w:drawing>
                <wp:inline distT="0" distB="0" distL="0" distR="0">
                  <wp:extent cx="1274445" cy="1626235"/>
                  <wp:effectExtent l="19050" t="0" r="1905" b="0"/>
                  <wp:docPr id="8" name="Picture 1" descr="2013-09-30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3-09-30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62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0A00">
              <w:t xml:space="preserve"> </w:t>
            </w:r>
          </w:p>
        </w:tc>
        <w:tc>
          <w:tcPr>
            <w:tcW w:w="7541" w:type="dxa"/>
          </w:tcPr>
          <w:p w:rsidR="00E90A00" w:rsidRPr="001D288A" w:rsidRDefault="00E90A00">
            <w:pPr>
              <w:pStyle w:val="ECVContactDetails1"/>
            </w:pPr>
            <w:r w:rsidRPr="001D288A">
              <w:t xml:space="preserve">1, </w:t>
            </w:r>
            <w:smartTag w:uri="urn:schemas-microsoft-com:office:smarttags" w:element="address">
              <w:smartTag w:uri="urn:schemas-microsoft-com:office:smarttags" w:element="Street">
                <w:r w:rsidRPr="001D288A">
                  <w:t>J. Bourchier Blvd.</w:t>
                </w:r>
              </w:smartTag>
            </w:smartTag>
            <w:r w:rsidRPr="001D288A">
              <w:t xml:space="preserve">, 1164 </w:t>
            </w:r>
            <w:smartTag w:uri="urn:schemas-microsoft-com:office:smarttags" w:element="place">
              <w:smartTag w:uri="urn:schemas-microsoft-com:office:smarttags" w:element="City">
                <w:r w:rsidRPr="001D288A">
                  <w:t>Sofia</w:t>
                </w:r>
              </w:smartTag>
              <w:r w:rsidRPr="001D288A">
                <w:t xml:space="preserve">, </w:t>
              </w:r>
              <w:smartTag w:uri="urn:schemas-microsoft-com:office:smarttags" w:element="country-region">
                <w:r w:rsidRPr="001D288A">
                  <w:t>Bulgaria</w:t>
                </w:r>
              </w:smartTag>
            </w:smartTag>
          </w:p>
        </w:tc>
      </w:tr>
      <w:tr w:rsidR="00E90A00">
        <w:trPr>
          <w:cantSplit/>
          <w:trHeight w:val="340"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1" w:type="dxa"/>
          </w:tcPr>
          <w:p w:rsidR="00E90A00" w:rsidRDefault="00216E54" w:rsidP="0039075F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en-US" w:eastAsia="en-US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E90A00">
              <w:t xml:space="preserve"> </w:t>
            </w:r>
            <w:r w:rsidR="00E90A00" w:rsidRPr="001D288A">
              <w:rPr>
                <w:rStyle w:val="ECVContactDetails"/>
              </w:rPr>
              <w:t>+359</w:t>
            </w:r>
            <w:r w:rsidR="00E90A00">
              <w:rPr>
                <w:rStyle w:val="ECVContactDetails"/>
              </w:rPr>
              <w:t>-</w:t>
            </w:r>
            <w:r w:rsidR="00E90A00" w:rsidRPr="001D288A">
              <w:rPr>
                <w:rStyle w:val="ECVContactDetails"/>
              </w:rPr>
              <w:t>2-8161218</w:t>
            </w:r>
            <w:r w:rsidR="00E90A00">
              <w:rPr>
                <w:rStyle w:val="ECVContactDetails"/>
              </w:rPr>
              <w:t xml:space="preserve">    </w:t>
            </w:r>
          </w:p>
        </w:tc>
      </w:tr>
      <w:tr w:rsidR="00E90A00">
        <w:trPr>
          <w:cantSplit/>
          <w:trHeight w:val="340"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1" w:type="dxa"/>
            <w:vAlign w:val="center"/>
          </w:tcPr>
          <w:p w:rsidR="00E90A00" w:rsidRPr="00D500DE" w:rsidRDefault="00216E54">
            <w:pPr>
              <w:pStyle w:val="ECVContactDetails1"/>
              <w:rPr>
                <w:rStyle w:val="ECVInternetLink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E90A00">
              <w:t xml:space="preserve"> </w:t>
            </w:r>
            <w:r w:rsidR="00E90A00" w:rsidRPr="00D500DE">
              <w:rPr>
                <w:rStyle w:val="ECVInternetLink"/>
              </w:rPr>
              <w:t>JZaharieva@wmail.chem.uni-sofia.bg</w:t>
            </w:r>
          </w:p>
        </w:tc>
      </w:tr>
      <w:tr w:rsidR="00E90A00">
        <w:trPr>
          <w:cantSplit/>
          <w:trHeight w:val="340"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1" w:type="dxa"/>
            <w:vAlign w:val="center"/>
          </w:tcPr>
          <w:p w:rsidR="00E90A00" w:rsidRDefault="00E90A00">
            <w:pPr>
              <w:pStyle w:val="ECVGenderRow"/>
              <w:rPr>
                <w:rFonts w:cs="Times New Roman"/>
              </w:rPr>
            </w:pPr>
          </w:p>
        </w:tc>
      </w:tr>
      <w:tr w:rsidR="00E90A00">
        <w:trPr>
          <w:cantSplit/>
          <w:trHeight w:val="340"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1" w:type="dxa"/>
            <w:vAlign w:val="center"/>
          </w:tcPr>
          <w:p w:rsidR="00E90A00" w:rsidRDefault="00E90A00">
            <w:pPr>
              <w:pStyle w:val="ECVGenderRow"/>
              <w:rPr>
                <w:rFonts w:cs="Times New Roman"/>
              </w:rPr>
            </w:pPr>
          </w:p>
        </w:tc>
      </w:tr>
    </w:tbl>
    <w:p w:rsidR="00E90A00" w:rsidRDefault="00E90A00">
      <w:pPr>
        <w:pStyle w:val="ECVText"/>
        <w:rPr>
          <w:rFonts w:cs="Times New Roman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90A00">
        <w:trPr>
          <w:cantSplit/>
          <w:trHeight w:val="340"/>
        </w:trPr>
        <w:tc>
          <w:tcPr>
            <w:tcW w:w="2834" w:type="dxa"/>
            <w:vAlign w:val="center"/>
          </w:tcPr>
          <w:p w:rsidR="00E90A00" w:rsidRDefault="00E90A00" w:rsidP="000E76DD">
            <w:pPr>
              <w:pStyle w:val="ECVLeftHeading"/>
              <w:jc w:val="left"/>
            </w:pPr>
          </w:p>
        </w:tc>
        <w:tc>
          <w:tcPr>
            <w:tcW w:w="7541" w:type="dxa"/>
            <w:vAlign w:val="center"/>
          </w:tcPr>
          <w:p w:rsidR="00E90A00" w:rsidRPr="008477E2" w:rsidRDefault="00E90A00" w:rsidP="008477E2">
            <w:pPr>
              <w:pStyle w:val="Heading1"/>
              <w:rPr>
                <w:sz w:val="24"/>
                <w:szCs w:val="24"/>
              </w:rPr>
            </w:pPr>
          </w:p>
        </w:tc>
      </w:tr>
    </w:tbl>
    <w:p w:rsidR="00E90A00" w:rsidRDefault="00E90A00">
      <w:pPr>
        <w:pStyle w:val="ECVText"/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90A00">
        <w:trPr>
          <w:trHeight w:val="170"/>
        </w:trPr>
        <w:tc>
          <w:tcPr>
            <w:tcW w:w="2835" w:type="dxa"/>
          </w:tcPr>
          <w:p w:rsidR="00E90A00" w:rsidRDefault="00E90A00">
            <w:pPr>
              <w:pStyle w:val="ECVLeftHeading"/>
              <w:rPr>
                <w:rFonts w:cs="Times New Roman"/>
              </w:rPr>
            </w:pPr>
            <w:smartTag w:uri="urn:schemas-microsoft-com:office:smarttags" w:element="stockticker">
              <w:r>
                <w:rPr>
                  <w:caps w:val="0"/>
                </w:rPr>
                <w:t>WORK</w:t>
              </w:r>
            </w:smartTag>
            <w:r>
              <w:rPr>
                <w:caps w:val="0"/>
              </w:rPr>
              <w:t xml:space="preserve"> EXPERIENCE</w:t>
            </w:r>
          </w:p>
        </w:tc>
        <w:tc>
          <w:tcPr>
            <w:tcW w:w="7540" w:type="dxa"/>
            <w:vAlign w:val="bottom"/>
          </w:tcPr>
          <w:p w:rsidR="00E90A00" w:rsidRDefault="00E90A00">
            <w:pPr>
              <w:pStyle w:val="ECVBlueBox"/>
            </w:pPr>
          </w:p>
        </w:tc>
      </w:tr>
    </w:tbl>
    <w:p w:rsidR="00E90A00" w:rsidRDefault="00E90A00">
      <w:pPr>
        <w:pStyle w:val="ECVComments"/>
      </w:pPr>
      <w: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90A00">
        <w:trPr>
          <w:cantSplit/>
        </w:trPr>
        <w:tc>
          <w:tcPr>
            <w:tcW w:w="2834" w:type="dxa"/>
            <w:vMerge w:val="restart"/>
          </w:tcPr>
          <w:p w:rsidR="00E90A00" w:rsidRDefault="00E90A00">
            <w:pPr>
              <w:pStyle w:val="ECVDate"/>
            </w:pPr>
            <w:r>
              <w:t>20011 - now</w:t>
            </w:r>
          </w:p>
        </w:tc>
        <w:tc>
          <w:tcPr>
            <w:tcW w:w="7541" w:type="dxa"/>
          </w:tcPr>
          <w:p w:rsidR="00E90A00" w:rsidRPr="00A75C47" w:rsidRDefault="00E90A00">
            <w:pPr>
              <w:pStyle w:val="ECVSubSectionHeading"/>
            </w:pPr>
            <w:r>
              <w:t>Chief a</w:t>
            </w:r>
            <w:r w:rsidRPr="00A75C47">
              <w:t xml:space="preserve">ssistant </w:t>
            </w:r>
            <w:r>
              <w:t>P</w:t>
            </w:r>
            <w:r w:rsidRPr="00A75C47">
              <w:t xml:space="preserve">rofessor in </w:t>
            </w:r>
            <w:r>
              <w:t>I</w:t>
            </w:r>
            <w:r w:rsidRPr="00A75C47">
              <w:t xml:space="preserve">norganic </w:t>
            </w:r>
            <w:r>
              <w:t>C</w:t>
            </w:r>
            <w:r w:rsidRPr="00A75C47">
              <w:t>hemistry</w:t>
            </w:r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1" w:type="dxa"/>
          </w:tcPr>
          <w:p w:rsidR="00E90A00" w:rsidRPr="00A75C47" w:rsidRDefault="00E90A00">
            <w:pPr>
              <w:pStyle w:val="ECVOrganisationDetails"/>
            </w:pPr>
            <w:r w:rsidRPr="00A75C47">
              <w:t>Department of General and Inorganic Chemistry,  Faculty of Chemistry</w:t>
            </w:r>
            <w:r>
              <w:t>,</w:t>
            </w:r>
            <w:r w:rsidRPr="00A75C47"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A75C47">
                  <w:t>Sofia</w:t>
                </w:r>
              </w:smartTag>
              <w:r w:rsidRPr="00A75C47">
                <w:t xml:space="preserve"> </w:t>
              </w:r>
              <w:smartTag w:uri="urn:schemas-microsoft-com:office:smarttags" w:element="PlaceName">
                <w:r w:rsidRPr="00A75C47">
                  <w:t>University</w:t>
                </w:r>
              </w:smartTag>
            </w:smartTag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1" w:type="dxa"/>
          </w:tcPr>
          <w:p w:rsidR="00F16047" w:rsidRDefault="00E90A00">
            <w:pPr>
              <w:pStyle w:val="ECVSectionBullet"/>
              <w:numPr>
                <w:ilvl w:val="0"/>
                <w:numId w:val="2"/>
              </w:numPr>
            </w:pPr>
            <w:r>
              <w:t>Scientific work, teaching</w:t>
            </w:r>
          </w:p>
          <w:p w:rsidR="00E90A00" w:rsidRDefault="00E90A00" w:rsidP="000E76DD">
            <w:pPr>
              <w:pStyle w:val="ECVSectionBullet"/>
              <w:ind w:left="113"/>
            </w:pPr>
            <w:r>
              <w:t xml:space="preserve"> </w:t>
            </w:r>
          </w:p>
        </w:tc>
      </w:tr>
      <w:tr w:rsidR="00E90A00">
        <w:trPr>
          <w:cantSplit/>
          <w:trHeight w:val="340"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1" w:type="dxa"/>
            <w:vAlign w:val="bottom"/>
          </w:tcPr>
          <w:p w:rsidR="00E90A00" w:rsidRDefault="00E90A00">
            <w:pPr>
              <w:pStyle w:val="ECVBusinessSectorRow"/>
            </w:pPr>
            <w:r>
              <w:rPr>
                <w:rStyle w:val="ECVHeadingBusinessSector"/>
              </w:rPr>
              <w:t>Sector</w:t>
            </w:r>
            <w:r>
              <w:t xml:space="preserve"> </w:t>
            </w:r>
            <w:r>
              <w:rPr>
                <w:rStyle w:val="ECVContactDetails"/>
              </w:rPr>
              <w:t>Academic</w:t>
            </w:r>
            <w:r>
              <w:t xml:space="preserve"> </w:t>
            </w:r>
          </w:p>
          <w:p w:rsidR="000E76DD" w:rsidRDefault="000E76DD">
            <w:pPr>
              <w:pStyle w:val="ECVBusinessSectorRow"/>
            </w:pPr>
          </w:p>
          <w:p w:rsidR="000E76DD" w:rsidRDefault="000E76DD">
            <w:pPr>
              <w:pStyle w:val="ECVBusinessSectorRow"/>
            </w:pPr>
          </w:p>
          <w:p w:rsidR="00F16047" w:rsidRDefault="00F16047" w:rsidP="00F16047">
            <w:pPr>
              <w:pStyle w:val="ECVComments"/>
              <w:rPr>
                <w:rFonts w:cs="Times New Roman"/>
              </w:rPr>
            </w:pPr>
          </w:p>
          <w:p w:rsidR="00F16047" w:rsidRDefault="00F16047">
            <w:pPr>
              <w:pStyle w:val="ECVBusinessSectorRow"/>
            </w:pPr>
          </w:p>
        </w:tc>
      </w:tr>
      <w:tr w:rsidR="00F16047" w:rsidTr="00286F0A">
        <w:trPr>
          <w:cantSplit/>
        </w:trPr>
        <w:tc>
          <w:tcPr>
            <w:tcW w:w="2834" w:type="dxa"/>
            <w:vMerge w:val="restart"/>
          </w:tcPr>
          <w:p w:rsidR="00F16047" w:rsidRDefault="00F16047" w:rsidP="00286F0A">
            <w:pPr>
              <w:pStyle w:val="ECVDate"/>
            </w:pPr>
            <w:r>
              <w:t>2008 - 2011</w:t>
            </w:r>
          </w:p>
        </w:tc>
        <w:tc>
          <w:tcPr>
            <w:tcW w:w="7541" w:type="dxa"/>
          </w:tcPr>
          <w:p w:rsidR="00F16047" w:rsidRPr="00A75C47" w:rsidRDefault="00F16047" w:rsidP="00286F0A">
            <w:pPr>
              <w:pStyle w:val="ECVSubSectionHeading"/>
              <w:rPr>
                <w:rFonts w:cs="Times New Roman"/>
              </w:rPr>
            </w:pPr>
            <w:r>
              <w:t>A</w:t>
            </w:r>
            <w:r w:rsidRPr="00A75C47">
              <w:t xml:space="preserve">ssistant </w:t>
            </w:r>
            <w:r>
              <w:t>P</w:t>
            </w:r>
            <w:r w:rsidRPr="00A75C47">
              <w:t xml:space="preserve">rofessor in </w:t>
            </w:r>
            <w:r>
              <w:t>I</w:t>
            </w:r>
            <w:r w:rsidRPr="00A75C47">
              <w:t xml:space="preserve">norganic </w:t>
            </w:r>
            <w:r>
              <w:t>C</w:t>
            </w:r>
            <w:r w:rsidRPr="00A75C47">
              <w:t>hemistry</w:t>
            </w:r>
          </w:p>
        </w:tc>
      </w:tr>
      <w:tr w:rsidR="00F16047" w:rsidTr="00286F0A">
        <w:trPr>
          <w:cantSplit/>
        </w:trPr>
        <w:tc>
          <w:tcPr>
            <w:tcW w:w="2834" w:type="dxa"/>
            <w:vMerge/>
          </w:tcPr>
          <w:p w:rsidR="00F16047" w:rsidRDefault="00F16047" w:rsidP="00286F0A">
            <w:pPr>
              <w:rPr>
                <w:rFonts w:cs="Times New Roman"/>
              </w:rPr>
            </w:pPr>
          </w:p>
        </w:tc>
        <w:tc>
          <w:tcPr>
            <w:tcW w:w="7541" w:type="dxa"/>
          </w:tcPr>
          <w:p w:rsidR="00F16047" w:rsidRPr="00A75C47" w:rsidRDefault="00F16047" w:rsidP="00286F0A">
            <w:pPr>
              <w:pStyle w:val="ECVOrganisationDetails"/>
            </w:pPr>
            <w:r w:rsidRPr="00A75C47">
              <w:t>Department of General and Inorganic Chemistry,  Faculty of Chemistry</w:t>
            </w:r>
            <w:r>
              <w:t>,</w:t>
            </w:r>
            <w:r w:rsidRPr="00A75C47"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A75C47">
                  <w:t>Sofia</w:t>
                </w:r>
              </w:smartTag>
              <w:r w:rsidRPr="00A75C47">
                <w:t xml:space="preserve"> </w:t>
              </w:r>
              <w:smartTag w:uri="urn:schemas-microsoft-com:office:smarttags" w:element="PlaceName">
                <w:r w:rsidRPr="00A75C47">
                  <w:t>University</w:t>
                </w:r>
              </w:smartTag>
            </w:smartTag>
          </w:p>
        </w:tc>
      </w:tr>
      <w:tr w:rsidR="00F16047" w:rsidTr="00286F0A">
        <w:trPr>
          <w:cantSplit/>
        </w:trPr>
        <w:tc>
          <w:tcPr>
            <w:tcW w:w="2834" w:type="dxa"/>
            <w:vMerge/>
          </w:tcPr>
          <w:p w:rsidR="00F16047" w:rsidRDefault="00F16047" w:rsidP="00286F0A">
            <w:pPr>
              <w:rPr>
                <w:rFonts w:cs="Times New Roman"/>
              </w:rPr>
            </w:pPr>
          </w:p>
        </w:tc>
        <w:tc>
          <w:tcPr>
            <w:tcW w:w="7541" w:type="dxa"/>
          </w:tcPr>
          <w:p w:rsidR="00F16047" w:rsidRDefault="00F16047" w:rsidP="00286F0A">
            <w:pPr>
              <w:pStyle w:val="ECVSectionBullet"/>
              <w:numPr>
                <w:ilvl w:val="0"/>
                <w:numId w:val="2"/>
              </w:numPr>
            </w:pPr>
            <w:r>
              <w:t xml:space="preserve">Scientific work </w:t>
            </w:r>
          </w:p>
        </w:tc>
      </w:tr>
      <w:tr w:rsidR="00F16047" w:rsidTr="00286F0A">
        <w:trPr>
          <w:cantSplit/>
          <w:trHeight w:val="340"/>
        </w:trPr>
        <w:tc>
          <w:tcPr>
            <w:tcW w:w="2834" w:type="dxa"/>
            <w:vMerge/>
          </w:tcPr>
          <w:p w:rsidR="00F16047" w:rsidRDefault="00F16047" w:rsidP="00286F0A">
            <w:pPr>
              <w:rPr>
                <w:rFonts w:cs="Times New Roman"/>
              </w:rPr>
            </w:pPr>
          </w:p>
        </w:tc>
        <w:tc>
          <w:tcPr>
            <w:tcW w:w="7541" w:type="dxa"/>
            <w:vAlign w:val="bottom"/>
          </w:tcPr>
          <w:p w:rsidR="00F16047" w:rsidRDefault="00F16047" w:rsidP="00286F0A">
            <w:pPr>
              <w:pStyle w:val="ECVBusinessSectorRow"/>
            </w:pPr>
            <w:r>
              <w:rPr>
                <w:rStyle w:val="ECVHeadingBusinessSector"/>
              </w:rPr>
              <w:t>Sector</w:t>
            </w:r>
            <w:r>
              <w:t xml:space="preserve"> </w:t>
            </w:r>
            <w:r w:rsidRPr="0015637C">
              <w:rPr>
                <w:rStyle w:val="ECVContactDetails"/>
              </w:rPr>
              <w:t>Academic</w:t>
            </w:r>
            <w:r>
              <w:t xml:space="preserve"> </w:t>
            </w:r>
          </w:p>
        </w:tc>
      </w:tr>
    </w:tbl>
    <w:p w:rsidR="00E90A00" w:rsidRDefault="00E90A00" w:rsidP="000A21C2">
      <w:pPr>
        <w:pStyle w:val="ECVComments"/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90A00">
        <w:trPr>
          <w:cantSplit/>
        </w:trPr>
        <w:tc>
          <w:tcPr>
            <w:tcW w:w="2834" w:type="dxa"/>
            <w:vMerge w:val="restart"/>
          </w:tcPr>
          <w:p w:rsidR="00E90A00" w:rsidRDefault="00E90A00" w:rsidP="00F16047">
            <w:pPr>
              <w:pStyle w:val="ECVDate"/>
            </w:pPr>
            <w:r>
              <w:t>200</w:t>
            </w:r>
            <w:r w:rsidR="00F16047">
              <w:t>4</w:t>
            </w:r>
            <w:r>
              <w:t xml:space="preserve"> - 20</w:t>
            </w:r>
            <w:r w:rsidR="00F16047">
              <w:t>08</w:t>
            </w:r>
          </w:p>
        </w:tc>
        <w:tc>
          <w:tcPr>
            <w:tcW w:w="7541" w:type="dxa"/>
          </w:tcPr>
          <w:p w:rsidR="00E90A00" w:rsidRPr="00A75C47" w:rsidRDefault="00E90A00" w:rsidP="00650E78">
            <w:pPr>
              <w:pStyle w:val="ECVSubSectionHeading"/>
              <w:rPr>
                <w:rFonts w:cs="Times New Roman"/>
              </w:rPr>
            </w:pPr>
            <w:r>
              <w:t>PhD Student</w:t>
            </w:r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 w:rsidP="00650E78">
            <w:pPr>
              <w:rPr>
                <w:rFonts w:cs="Times New Roman"/>
              </w:rPr>
            </w:pPr>
          </w:p>
        </w:tc>
        <w:tc>
          <w:tcPr>
            <w:tcW w:w="7541" w:type="dxa"/>
          </w:tcPr>
          <w:p w:rsidR="00E90A00" w:rsidRPr="00A75C47" w:rsidRDefault="00E90A00" w:rsidP="00650E78">
            <w:pPr>
              <w:pStyle w:val="ECVOrganisationDetails"/>
            </w:pPr>
            <w:r w:rsidRPr="00A75C47">
              <w:t>Department of General and Inorganic Chemistry,  Faculty of Chemistry</w:t>
            </w:r>
            <w:r>
              <w:t>,</w:t>
            </w:r>
            <w:r w:rsidRPr="00A75C47"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A75C47">
                  <w:t>Sofia</w:t>
                </w:r>
              </w:smartTag>
              <w:r w:rsidRPr="00A75C47">
                <w:t xml:space="preserve"> </w:t>
              </w:r>
              <w:smartTag w:uri="urn:schemas-microsoft-com:office:smarttags" w:element="PlaceName">
                <w:r w:rsidRPr="00A75C47">
                  <w:t>University</w:t>
                </w:r>
              </w:smartTag>
            </w:smartTag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 w:rsidP="00650E78">
            <w:pPr>
              <w:rPr>
                <w:rFonts w:cs="Times New Roman"/>
              </w:rPr>
            </w:pPr>
          </w:p>
        </w:tc>
        <w:tc>
          <w:tcPr>
            <w:tcW w:w="7541" w:type="dxa"/>
          </w:tcPr>
          <w:p w:rsidR="00E90A00" w:rsidRDefault="00E90A00" w:rsidP="00650E78">
            <w:pPr>
              <w:pStyle w:val="ECVSectionBullet"/>
              <w:numPr>
                <w:ilvl w:val="0"/>
                <w:numId w:val="2"/>
              </w:numPr>
            </w:pPr>
            <w:r>
              <w:t xml:space="preserve">Scientific work </w:t>
            </w:r>
          </w:p>
        </w:tc>
      </w:tr>
      <w:tr w:rsidR="00E90A00">
        <w:trPr>
          <w:cantSplit/>
          <w:trHeight w:val="340"/>
        </w:trPr>
        <w:tc>
          <w:tcPr>
            <w:tcW w:w="2834" w:type="dxa"/>
            <w:vMerge/>
          </w:tcPr>
          <w:p w:rsidR="00E90A00" w:rsidRDefault="00E90A00" w:rsidP="00650E78">
            <w:pPr>
              <w:rPr>
                <w:rFonts w:cs="Times New Roman"/>
              </w:rPr>
            </w:pPr>
          </w:p>
        </w:tc>
        <w:tc>
          <w:tcPr>
            <w:tcW w:w="7541" w:type="dxa"/>
            <w:vAlign w:val="bottom"/>
          </w:tcPr>
          <w:p w:rsidR="00F16047" w:rsidRDefault="00E90A00" w:rsidP="00216E54">
            <w:pPr>
              <w:pStyle w:val="ECVBusinessSectorRow"/>
            </w:pPr>
            <w:r>
              <w:rPr>
                <w:rStyle w:val="ECVHeadingBusinessSector"/>
              </w:rPr>
              <w:t>Sector</w:t>
            </w:r>
            <w:r>
              <w:t xml:space="preserve"> </w:t>
            </w:r>
            <w:r w:rsidRPr="0015637C">
              <w:rPr>
                <w:rStyle w:val="ECVContactDetails"/>
              </w:rPr>
              <w:t>Academic</w:t>
            </w:r>
            <w:r>
              <w:t xml:space="preserve"> </w:t>
            </w:r>
          </w:p>
        </w:tc>
      </w:tr>
      <w:tr w:rsidR="00F16047" w:rsidTr="00286F0A">
        <w:trPr>
          <w:cantSplit/>
        </w:trPr>
        <w:tc>
          <w:tcPr>
            <w:tcW w:w="2834" w:type="dxa"/>
          </w:tcPr>
          <w:p w:rsidR="00F16047" w:rsidRDefault="00F16047" w:rsidP="00286F0A">
            <w:pPr>
              <w:pStyle w:val="ECVDate"/>
            </w:pPr>
          </w:p>
        </w:tc>
        <w:tc>
          <w:tcPr>
            <w:tcW w:w="7541" w:type="dxa"/>
          </w:tcPr>
          <w:p w:rsidR="00F16047" w:rsidRPr="00A75C47" w:rsidRDefault="00F16047" w:rsidP="00286F0A">
            <w:pPr>
              <w:pStyle w:val="ECVSubSectionHeading"/>
              <w:rPr>
                <w:rFonts w:cs="Times New Roman"/>
              </w:rPr>
            </w:pPr>
          </w:p>
        </w:tc>
      </w:tr>
      <w:tr w:rsidR="00216E54" w:rsidRPr="00A75C47" w:rsidTr="00286F0A">
        <w:trPr>
          <w:cantSplit/>
        </w:trPr>
        <w:tc>
          <w:tcPr>
            <w:tcW w:w="2834" w:type="dxa"/>
          </w:tcPr>
          <w:p w:rsidR="00216E54" w:rsidRDefault="00216E54" w:rsidP="00286F0A">
            <w:pPr>
              <w:pStyle w:val="ECVDate"/>
            </w:pPr>
          </w:p>
        </w:tc>
        <w:tc>
          <w:tcPr>
            <w:tcW w:w="7541" w:type="dxa"/>
          </w:tcPr>
          <w:p w:rsidR="00216E54" w:rsidRPr="00A75C47" w:rsidRDefault="000E76DD" w:rsidP="00286F0A">
            <w:pPr>
              <w:pStyle w:val="ECVSubSectionHeading"/>
              <w:rPr>
                <w:rFonts w:cs="Times New Roman"/>
              </w:rPr>
            </w:pPr>
            <w:r>
              <w:rPr>
                <w:rFonts w:cs="Times New Roman"/>
                <w:noProof/>
                <w:lang w:val="en-US" w:eastAsia="en-US"/>
              </w:rPr>
              <w:drawing>
                <wp:inline distT="0" distB="0" distL="0" distR="0" wp14:anchorId="3ECCC1C4" wp14:editId="50325E95">
                  <wp:extent cx="4783455" cy="81280"/>
                  <wp:effectExtent l="19050" t="0" r="0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455" cy="81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A00" w:rsidRDefault="00E90A00">
      <w:pPr>
        <w:pStyle w:val="ECVText"/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90A00">
        <w:trPr>
          <w:trHeight w:val="170"/>
        </w:trPr>
        <w:tc>
          <w:tcPr>
            <w:tcW w:w="2835" w:type="dxa"/>
          </w:tcPr>
          <w:p w:rsidR="00E90A00" w:rsidRDefault="00E90A00">
            <w:pPr>
              <w:pStyle w:val="ECVLeftHeading"/>
              <w:rPr>
                <w:rFonts w:cs="Times New Roman"/>
              </w:rPr>
            </w:pPr>
            <w:r>
              <w:rPr>
                <w:caps w:val="0"/>
              </w:rPr>
              <w:t xml:space="preserve">EDUCATION  </w:t>
            </w:r>
            <w:smartTag w:uri="urn:schemas-microsoft-com:office:smarttags" w:element="stockticker">
              <w:r>
                <w:rPr>
                  <w:caps w:val="0"/>
                </w:rPr>
                <w:t>AND</w:t>
              </w:r>
            </w:smartTag>
            <w:r>
              <w:rPr>
                <w:caps w:val="0"/>
              </w:rPr>
              <w:t xml:space="preserve"> TRAINING</w:t>
            </w:r>
          </w:p>
        </w:tc>
        <w:tc>
          <w:tcPr>
            <w:tcW w:w="7540" w:type="dxa"/>
            <w:vAlign w:val="bottom"/>
          </w:tcPr>
          <w:p w:rsidR="00E90A00" w:rsidRDefault="00E90A00">
            <w:pPr>
              <w:pStyle w:val="ECVBlueBox"/>
            </w:pPr>
          </w:p>
        </w:tc>
      </w:tr>
    </w:tbl>
    <w:p w:rsidR="00E90A00" w:rsidRDefault="00E90A00">
      <w:pPr>
        <w:pStyle w:val="ECVComments"/>
      </w:pPr>
      <w: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E90A00">
        <w:trPr>
          <w:cantSplit/>
        </w:trPr>
        <w:tc>
          <w:tcPr>
            <w:tcW w:w="2834" w:type="dxa"/>
            <w:vMerge w:val="restart"/>
          </w:tcPr>
          <w:p w:rsidR="00E90A00" w:rsidRDefault="00F16047" w:rsidP="00F16047">
            <w:pPr>
              <w:pStyle w:val="ECVDate"/>
            </w:pPr>
            <w:r>
              <w:t>2011</w:t>
            </w:r>
          </w:p>
        </w:tc>
        <w:tc>
          <w:tcPr>
            <w:tcW w:w="6237" w:type="dxa"/>
          </w:tcPr>
          <w:p w:rsidR="00E90A00" w:rsidRDefault="00E90A00">
            <w:pPr>
              <w:pStyle w:val="ECVSubSectionHeading"/>
            </w:pPr>
            <w:r>
              <w:t>PhD</w:t>
            </w:r>
          </w:p>
        </w:tc>
        <w:tc>
          <w:tcPr>
            <w:tcW w:w="1305" w:type="dxa"/>
          </w:tcPr>
          <w:p w:rsidR="00E90A00" w:rsidRDefault="00E90A00">
            <w:pPr>
              <w:pStyle w:val="ECVRightHeading"/>
              <w:rPr>
                <w:rFonts w:cs="Times New Roman"/>
              </w:rPr>
            </w:pPr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2"/>
          </w:tcPr>
          <w:p w:rsidR="00E90A00" w:rsidRDefault="00E90A00">
            <w:pPr>
              <w:pStyle w:val="ECVOrganisationDetails"/>
            </w:pPr>
            <w:r w:rsidRPr="00A75C47">
              <w:t>Department of General and Inorganic Chemistry,  Faculty of Chemistry</w:t>
            </w:r>
            <w:r>
              <w:t>,</w:t>
            </w:r>
            <w:r w:rsidRPr="00A75C47"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A75C47">
                  <w:t>Sofia</w:t>
                </w:r>
              </w:smartTag>
              <w:r w:rsidRPr="00A75C47">
                <w:t xml:space="preserve"> </w:t>
              </w:r>
              <w:smartTag w:uri="urn:schemas-microsoft-com:office:smarttags" w:element="PlaceName">
                <w:r w:rsidRPr="00A75C47">
                  <w:t>University</w:t>
                </w:r>
              </w:smartTag>
            </w:smartTag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2"/>
          </w:tcPr>
          <w:p w:rsidR="00E90A00" w:rsidRDefault="00E90A00">
            <w:pPr>
              <w:pStyle w:val="ECVSectionBullet"/>
              <w:numPr>
                <w:ilvl w:val="0"/>
                <w:numId w:val="2"/>
              </w:numPr>
            </w:pPr>
            <w:r>
              <w:t>I</w:t>
            </w:r>
            <w:r w:rsidRPr="00993159">
              <w:t xml:space="preserve">norganic </w:t>
            </w:r>
            <w:r>
              <w:t>Synthesis</w:t>
            </w:r>
          </w:p>
          <w:p w:rsidR="00E90A00" w:rsidRDefault="00E90A00">
            <w:pPr>
              <w:pStyle w:val="ECVSectionBullet"/>
              <w:numPr>
                <w:ilvl w:val="0"/>
                <w:numId w:val="2"/>
              </w:numPr>
              <w:rPr>
                <w:rFonts w:cs="Times New Roman"/>
              </w:rPr>
            </w:pPr>
            <w:r>
              <w:t>O</w:t>
            </w:r>
            <w:r w:rsidRPr="00993159">
              <w:t xml:space="preserve">ptical </w:t>
            </w:r>
            <w:r>
              <w:t>O</w:t>
            </w:r>
            <w:r w:rsidRPr="00993159">
              <w:t xml:space="preserve">xygen </w:t>
            </w:r>
            <w:r>
              <w:t>Sensors</w:t>
            </w:r>
            <w:r w:rsidRPr="00993159">
              <w:t xml:space="preserve"> </w:t>
            </w:r>
          </w:p>
          <w:p w:rsidR="00E90A00" w:rsidRDefault="00E90A00">
            <w:pPr>
              <w:pStyle w:val="ECVSectionBullet"/>
              <w:numPr>
                <w:ilvl w:val="0"/>
                <w:numId w:val="2"/>
              </w:numPr>
              <w:rPr>
                <w:rFonts w:cs="Times New Roman"/>
              </w:rPr>
            </w:pPr>
            <w:r>
              <w:t>S</w:t>
            </w:r>
            <w:r w:rsidRPr="00993159">
              <w:t>ol-</w:t>
            </w:r>
            <w:r>
              <w:t>ge</w:t>
            </w:r>
            <w:r w:rsidRPr="00993159">
              <w:t xml:space="preserve">l </w:t>
            </w:r>
            <w:r>
              <w:t>M</w:t>
            </w:r>
            <w:r w:rsidRPr="00993159">
              <w:t>ethod</w:t>
            </w:r>
          </w:p>
          <w:p w:rsidR="00E90A00" w:rsidRDefault="00E90A00" w:rsidP="00EA5A6E">
            <w:pPr>
              <w:pStyle w:val="ECVSectionBullet"/>
              <w:numPr>
                <w:ilvl w:val="0"/>
                <w:numId w:val="2"/>
              </w:numPr>
            </w:pPr>
            <w:r>
              <w:t>L</w:t>
            </w:r>
            <w:r w:rsidRPr="00993159">
              <w:t xml:space="preserve">anthanide </w:t>
            </w:r>
            <w:r>
              <w:t>Complexes</w:t>
            </w:r>
          </w:p>
        </w:tc>
      </w:tr>
    </w:tbl>
    <w:p w:rsidR="00E90A00" w:rsidRDefault="00E90A00">
      <w:pPr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E90A00">
        <w:trPr>
          <w:cantSplit/>
        </w:trPr>
        <w:tc>
          <w:tcPr>
            <w:tcW w:w="2834" w:type="dxa"/>
            <w:vMerge w:val="restart"/>
          </w:tcPr>
          <w:p w:rsidR="00E90A00" w:rsidRDefault="00E90A00" w:rsidP="00DF34A2">
            <w:pPr>
              <w:pStyle w:val="ECVDate"/>
            </w:pPr>
            <w:r>
              <w:t>1997</w:t>
            </w:r>
          </w:p>
        </w:tc>
        <w:tc>
          <w:tcPr>
            <w:tcW w:w="6237" w:type="dxa"/>
          </w:tcPr>
          <w:p w:rsidR="00E90A00" w:rsidRDefault="00E90A00" w:rsidP="00DF34A2">
            <w:pPr>
              <w:pStyle w:val="ECVSubSectionHeading"/>
            </w:pPr>
            <w:r>
              <w:t>M. Sc.</w:t>
            </w:r>
          </w:p>
        </w:tc>
        <w:tc>
          <w:tcPr>
            <w:tcW w:w="1305" w:type="dxa"/>
          </w:tcPr>
          <w:p w:rsidR="00E90A00" w:rsidRDefault="00E90A00" w:rsidP="00DF34A2">
            <w:pPr>
              <w:pStyle w:val="ECVRightHeading"/>
              <w:rPr>
                <w:rFonts w:cs="Times New Roman"/>
              </w:rPr>
            </w:pPr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 w:rsidP="00DF34A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2"/>
          </w:tcPr>
          <w:p w:rsidR="00E90A00" w:rsidRPr="006C3984" w:rsidRDefault="00E90A00" w:rsidP="00DF34A2">
            <w:pPr>
              <w:pStyle w:val="ECVOrganisationDetails"/>
            </w:pPr>
            <w:smartTag w:uri="urn:schemas-microsoft-com:office:smarttags" w:element="place">
              <w:smartTag w:uri="urn:schemas-microsoft-com:office:smarttags" w:element="PlaceName">
                <w:r w:rsidRPr="006C3984">
                  <w:t>Sofia</w:t>
                </w:r>
              </w:smartTag>
              <w:r w:rsidRPr="006C3984">
                <w:t xml:space="preserve"> </w:t>
              </w:r>
              <w:smartTag w:uri="urn:schemas-microsoft-com:office:smarttags" w:element="PlaceName">
                <w:r w:rsidRPr="006C3984">
                  <w:t>University</w:t>
                </w:r>
              </w:smartTag>
            </w:smartTag>
            <w:r w:rsidRPr="006C3984">
              <w:t>, Faculty of Chemistry and Pharmacy</w:t>
            </w:r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 w:rsidP="00DF34A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2"/>
          </w:tcPr>
          <w:p w:rsidR="00E90A00" w:rsidRDefault="00E90A00" w:rsidP="00DF34A2">
            <w:pPr>
              <w:pStyle w:val="ECVSectionBullet"/>
              <w:numPr>
                <w:ilvl w:val="0"/>
                <w:numId w:val="2"/>
              </w:numPr>
              <w:rPr>
                <w:rFonts w:cs="Times New Roman"/>
              </w:rPr>
            </w:pPr>
            <w:r w:rsidRPr="006C3984">
              <w:t>Chemistry, Organic and Analytical Chemistry</w:t>
            </w:r>
          </w:p>
        </w:tc>
      </w:tr>
    </w:tbl>
    <w:p w:rsidR="00E90A00" w:rsidRDefault="00E90A00">
      <w:pPr>
        <w:pStyle w:val="ECVText"/>
        <w:rPr>
          <w:rFonts w:cs="Times New Roma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E90A00">
        <w:trPr>
          <w:cantSplit/>
        </w:trPr>
        <w:tc>
          <w:tcPr>
            <w:tcW w:w="2834" w:type="dxa"/>
            <w:vMerge w:val="restart"/>
          </w:tcPr>
          <w:p w:rsidR="00E90A00" w:rsidRPr="00971ACA" w:rsidRDefault="00E90A00" w:rsidP="00DF34A2">
            <w:pPr>
              <w:pStyle w:val="ECVDate"/>
            </w:pPr>
            <w:r w:rsidRPr="00971ACA">
              <w:t>1988-1992</w:t>
            </w:r>
          </w:p>
        </w:tc>
        <w:tc>
          <w:tcPr>
            <w:tcW w:w="6237" w:type="dxa"/>
          </w:tcPr>
          <w:p w:rsidR="00E90A00" w:rsidRPr="00971ACA" w:rsidRDefault="00E90A00" w:rsidP="00DF34A2">
            <w:pPr>
              <w:pStyle w:val="ECVSubSectionHeading"/>
            </w:pPr>
            <w:r w:rsidRPr="00971ACA">
              <w:t xml:space="preserve">Diploma and </w:t>
            </w:r>
            <w:r>
              <w:t xml:space="preserve">professional </w:t>
            </w:r>
            <w:r w:rsidRPr="00971ACA">
              <w:t>certificate</w:t>
            </w:r>
          </w:p>
        </w:tc>
        <w:tc>
          <w:tcPr>
            <w:tcW w:w="1305" w:type="dxa"/>
          </w:tcPr>
          <w:p w:rsidR="00E90A00" w:rsidRDefault="00E90A00" w:rsidP="00DF34A2">
            <w:pPr>
              <w:pStyle w:val="ECVRightHeading"/>
              <w:rPr>
                <w:rFonts w:cs="Times New Roman"/>
              </w:rPr>
            </w:pPr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 w:rsidP="00DF34A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2"/>
          </w:tcPr>
          <w:p w:rsidR="00E90A00" w:rsidRPr="00914A1D" w:rsidRDefault="00E90A00" w:rsidP="00DF34A2">
            <w:pPr>
              <w:pStyle w:val="ECVOrganisationDetails"/>
            </w:pPr>
            <w:smartTag w:uri="urn:schemas-microsoft-com:office:smarttags" w:element="place">
              <w:smartTag w:uri="urn:schemas-microsoft-com:office:smarttags" w:element="PlaceName">
                <w:r w:rsidRPr="00914A1D">
                  <w:t>Technical</w:t>
                </w:r>
              </w:smartTag>
              <w:r w:rsidRPr="00914A1D">
                <w:t xml:space="preserve">  </w:t>
              </w:r>
              <w:smartTag w:uri="urn:schemas-microsoft-com:office:smarttags" w:element="PlaceType">
                <w:r w:rsidRPr="00914A1D">
                  <w:t>School</w:t>
                </w:r>
              </w:smartTag>
            </w:smartTag>
            <w:r w:rsidRPr="00914A1D">
              <w:t xml:space="preserve"> of Chemical Industry “Marie Curie” , </w:t>
            </w:r>
            <w:smartTag w:uri="urn:schemas-microsoft-com:office:smarttags" w:element="place">
              <w:smartTag w:uri="urn:schemas-microsoft-com:office:smarttags" w:element="City">
                <w:r w:rsidRPr="00914A1D">
                  <w:t>Vratsa</w:t>
                </w:r>
              </w:smartTag>
              <w:r w:rsidRPr="00914A1D">
                <w:t xml:space="preserve">, </w:t>
              </w:r>
              <w:smartTag w:uri="urn:schemas-microsoft-com:office:smarttags" w:element="country-region">
                <w:r w:rsidRPr="00914A1D">
                  <w:t>Bulgaria</w:t>
                </w:r>
              </w:smartTag>
            </w:smartTag>
            <w:r>
              <w:t xml:space="preserve">   </w:t>
            </w:r>
          </w:p>
        </w:tc>
      </w:tr>
      <w:tr w:rsidR="00E90A00">
        <w:trPr>
          <w:cantSplit/>
        </w:trPr>
        <w:tc>
          <w:tcPr>
            <w:tcW w:w="2834" w:type="dxa"/>
            <w:vMerge/>
          </w:tcPr>
          <w:p w:rsidR="00E90A00" w:rsidRDefault="00E90A00" w:rsidP="00DF34A2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2"/>
          </w:tcPr>
          <w:p w:rsidR="00E90A00" w:rsidRDefault="00E90A00" w:rsidP="00914A1D">
            <w:pPr>
              <w:pStyle w:val="ECVSectionBullet"/>
              <w:numPr>
                <w:ilvl w:val="0"/>
                <w:numId w:val="2"/>
              </w:numPr>
            </w:pPr>
            <w:r>
              <w:t>Analytical Chemistry and Microbiology</w:t>
            </w:r>
          </w:p>
          <w:p w:rsidR="00E90A00" w:rsidRDefault="00E90A00" w:rsidP="00914A1D">
            <w:pPr>
              <w:pStyle w:val="ECVSectionBullet"/>
              <w:numPr>
                <w:ilvl w:val="0"/>
                <w:numId w:val="2"/>
              </w:numPr>
            </w:pPr>
            <w:r>
              <w:t>Assistant laboratory</w:t>
            </w:r>
          </w:p>
          <w:p w:rsidR="00E90A00" w:rsidRDefault="00E90A00" w:rsidP="00130785">
            <w:pPr>
              <w:pStyle w:val="ECVSectionBullet"/>
              <w:ind w:left="113"/>
              <w:rPr>
                <w:rFonts w:cs="Times New Roman"/>
              </w:rPr>
            </w:pPr>
          </w:p>
        </w:tc>
      </w:tr>
    </w:tbl>
    <w:p w:rsidR="00E90A00" w:rsidRDefault="00E90A00">
      <w:pPr>
        <w:pStyle w:val="ECVText"/>
        <w:rPr>
          <w:rFonts w:cs="Times New Roman"/>
        </w:rPr>
      </w:pPr>
    </w:p>
    <w:p w:rsidR="00E90A00" w:rsidRDefault="00E90A0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  <w:bookmarkStart w:id="0" w:name="_GoBack"/>
    </w:p>
    <w:bookmarkEnd w:id="0"/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>
      <w:pPr>
        <w:pStyle w:val="ECVText"/>
        <w:rPr>
          <w:rFonts w:cs="Times New Roman"/>
        </w:rPr>
      </w:pPr>
    </w:p>
    <w:p w:rsidR="00EF5EC0" w:rsidRDefault="00EF5EC0" w:rsidP="00EF5EC0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sz w:val="24"/>
          <w:szCs w:val="24"/>
          <w:lang w:val="bg-BG"/>
        </w:rPr>
        <w:lastRenderedPageBreak/>
        <w:t>СПИСЪК НА ПУБЛИКАЦИИТЕ</w:t>
      </w:r>
    </w:p>
    <w:p w:rsidR="00EF5EC0" w:rsidRDefault="00EF5EC0" w:rsidP="00EF5EC0">
      <w:pPr>
        <w:tabs>
          <w:tab w:val="num" w:pos="786"/>
        </w:tabs>
        <w:ind w:left="710" w:hanging="284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гл.ас. д-р Йоана Захариева</w:t>
      </w:r>
    </w:p>
    <w:p w:rsidR="00EF5EC0" w:rsidRDefault="00EF5EC0" w:rsidP="00EF5EC0">
      <w:pPr>
        <w:tabs>
          <w:tab w:val="num" w:pos="786"/>
        </w:tabs>
        <w:ind w:left="710" w:hanging="284"/>
        <w:jc w:val="center"/>
        <w:rPr>
          <w:b/>
          <w:sz w:val="24"/>
          <w:szCs w:val="24"/>
          <w:lang w:val="bg-BG"/>
        </w:rPr>
      </w:pPr>
    </w:p>
    <w:p w:rsidR="00EF5EC0" w:rsidRDefault="00EF5EC0" w:rsidP="00EF5EC0">
      <w:pPr>
        <w:tabs>
          <w:tab w:val="num" w:pos="786"/>
        </w:tabs>
        <w:ind w:left="710" w:hanging="284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Глава от книга</w:t>
      </w:r>
    </w:p>
    <w:p w:rsidR="00EF5EC0" w:rsidRDefault="00EF5EC0" w:rsidP="00EF5EC0">
      <w:pPr>
        <w:pStyle w:val="Heading1"/>
        <w:widowControl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u w:val="single"/>
        </w:rPr>
        <w:t>Zaharieva J</w:t>
      </w:r>
      <w:r>
        <w:rPr>
          <w:sz w:val="24"/>
          <w:szCs w:val="24"/>
        </w:rPr>
        <w:t xml:space="preserve">., </w:t>
      </w:r>
      <w:r>
        <w:rPr>
          <w:b w:val="0"/>
          <w:sz w:val="24"/>
          <w:szCs w:val="24"/>
        </w:rPr>
        <w:t>M. Milanova</w:t>
      </w:r>
      <w:r>
        <w:rPr>
          <w:sz w:val="24"/>
          <w:szCs w:val="24"/>
        </w:rPr>
        <w:t xml:space="preserve">. Thin films for immobilization of complexes with optical properties. In Modern Technologies for Creating the Thin-film Systems and Coatings,.Eddited by Nikolay Nikitenkov </w:t>
      </w:r>
      <w:r>
        <w:rPr>
          <w:sz w:val="24"/>
          <w:szCs w:val="24"/>
          <w:lang w:val="bg-BG"/>
        </w:rPr>
        <w:t xml:space="preserve">,  </w:t>
      </w:r>
      <w:r>
        <w:rPr>
          <w:sz w:val="24"/>
          <w:szCs w:val="24"/>
        </w:rPr>
        <w:t xml:space="preserve">In INTECH OPEN ACCSESS (2017)pp. 251-275. </w:t>
      </w:r>
      <w:r>
        <w:rPr>
          <w:sz w:val="24"/>
          <w:szCs w:val="24"/>
          <w:lang w:eastAsia="bg-BG"/>
        </w:rPr>
        <w:t>http://dx.doi.org/10.5772/66512</w:t>
      </w:r>
    </w:p>
    <w:p w:rsidR="00EF5EC0" w:rsidRDefault="00EF5EC0" w:rsidP="00EF5EC0">
      <w:pPr>
        <w:tabs>
          <w:tab w:val="num" w:pos="786"/>
        </w:tabs>
        <w:ind w:left="710" w:hanging="284"/>
        <w:jc w:val="center"/>
        <w:rPr>
          <w:b/>
          <w:sz w:val="24"/>
          <w:szCs w:val="24"/>
          <w:lang w:val="bg-BG"/>
        </w:rPr>
      </w:pPr>
    </w:p>
    <w:p w:rsidR="00EF5EC0" w:rsidRDefault="00EF5EC0" w:rsidP="00EF5EC0">
      <w:pPr>
        <w:pStyle w:val="Heading1"/>
        <w:tabs>
          <w:tab w:val="num" w:pos="720"/>
        </w:tabs>
        <w:ind w:left="720" w:hanging="720"/>
        <w:jc w:val="both"/>
        <w:rPr>
          <w:b w:val="0"/>
          <w:i/>
          <w:iCs/>
          <w:sz w:val="24"/>
          <w:szCs w:val="24"/>
          <w:lang w:val="bg-BG"/>
        </w:rPr>
      </w:pPr>
      <w:r>
        <w:rPr>
          <w:b w:val="0"/>
          <w:bCs w:val="0"/>
          <w:i/>
          <w:iCs/>
          <w:sz w:val="24"/>
          <w:szCs w:val="24"/>
          <w:lang w:val="bg-BG"/>
        </w:rPr>
        <w:t>Статии</w:t>
      </w:r>
    </w:p>
    <w:p w:rsidR="00EF5EC0" w:rsidRDefault="00EF5EC0" w:rsidP="00EF5EC0">
      <w:pPr>
        <w:pStyle w:val="Aaoeeu"/>
        <w:widowControl/>
        <w:spacing w:before="20" w:after="20"/>
        <w:rPr>
          <w:rFonts w:ascii="Times New Roman" w:hAnsi="Times New Roman" w:cs="Times New Roman"/>
          <w:sz w:val="24"/>
          <w:szCs w:val="24"/>
          <w:lang w:val="en-GB"/>
        </w:rPr>
      </w:pP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sz w:val="24"/>
          <w:szCs w:val="24"/>
          <w:lang w:val="it-IT"/>
        </w:rPr>
        <w:t>Milanova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it-IT"/>
        </w:rPr>
        <w:t>M</w:t>
      </w:r>
      <w:r>
        <w:rPr>
          <w:b/>
          <w:sz w:val="24"/>
          <w:szCs w:val="24"/>
        </w:rPr>
        <w:t xml:space="preserve">., </w:t>
      </w:r>
      <w:r>
        <w:rPr>
          <w:b/>
          <w:sz w:val="24"/>
          <w:szCs w:val="24"/>
          <w:u w:val="single"/>
          <w:lang w:val="it-IT"/>
        </w:rPr>
        <w:t>J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  <w:lang w:val="it-IT"/>
        </w:rPr>
        <w:t>Zaharieva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it-IT"/>
        </w:rPr>
        <w:t>S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it-IT"/>
        </w:rPr>
        <w:t>Anastasova, D. Tododrovsky.</w:t>
      </w: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 xml:space="preserve">Optical oxygen sensors. – </w:t>
      </w:r>
      <w:r>
        <w:rPr>
          <w:i/>
          <w:sz w:val="24"/>
          <w:szCs w:val="24"/>
        </w:rPr>
        <w:t>Khim. Ind. 79 (2008) 31-46 (in Bulg.).</w:t>
      </w:r>
      <w:r>
        <w:rPr>
          <w:b/>
          <w:sz w:val="24"/>
          <w:szCs w:val="24"/>
          <w:lang w:val="it-IT"/>
        </w:rPr>
        <w:t xml:space="preserve">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 xml:space="preserve">Anastasova, S., M. Milanova, </w:t>
      </w:r>
      <w:r>
        <w:rPr>
          <w:b/>
          <w:sz w:val="24"/>
          <w:szCs w:val="24"/>
          <w:u w:val="single"/>
          <w:lang w:val="it-IT"/>
        </w:rPr>
        <w:t>J. Zaharieva</w:t>
      </w:r>
      <w:r>
        <w:rPr>
          <w:b/>
          <w:sz w:val="24"/>
          <w:szCs w:val="24"/>
          <w:lang w:val="it-IT"/>
        </w:rPr>
        <w:t>, D. Todorovsky.</w:t>
      </w: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Influence of the aggressive reagents on the photoluminescent properties of Ru(II) complex - SiO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-microcomposites used as oxygen sensors. – </w:t>
      </w:r>
      <w:r>
        <w:rPr>
          <w:i/>
          <w:sz w:val="24"/>
          <w:szCs w:val="24"/>
        </w:rPr>
        <w:t xml:space="preserve">Bulg. Chem. Ind. </w:t>
      </w:r>
      <w:r>
        <w:rPr>
          <w:sz w:val="24"/>
          <w:szCs w:val="24"/>
        </w:rPr>
        <w:t>80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(2009) 28-33.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it-IT"/>
        </w:rPr>
        <w:t>Zaharieva, J.,</w:t>
      </w:r>
      <w:r>
        <w:rPr>
          <w:b/>
          <w:sz w:val="24"/>
          <w:szCs w:val="24"/>
          <w:lang w:val="it-IT"/>
        </w:rPr>
        <w:t xml:space="preserve"> M. Milanova, M. Mitov, L. Lutov, St. Manev, D. Todorovsky.</w:t>
      </w: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Corrosion of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aluminium and aluminium alloy in ethylene glycol-water mixtures. - </w:t>
      </w:r>
      <w:r>
        <w:rPr>
          <w:i/>
          <w:sz w:val="24"/>
          <w:szCs w:val="24"/>
        </w:rPr>
        <w:t xml:space="preserve">J. Alloys Compounds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470 (2009) 397-403.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b/>
          <w:color w:val="231F20"/>
          <w:sz w:val="24"/>
          <w:szCs w:val="24"/>
        </w:rPr>
        <w:t xml:space="preserve">Milanova, M., </w:t>
      </w:r>
      <w:r>
        <w:rPr>
          <w:b/>
          <w:color w:val="231F20"/>
          <w:sz w:val="24"/>
          <w:szCs w:val="24"/>
          <w:u w:val="single"/>
        </w:rPr>
        <w:t>J. Zaharieva</w:t>
      </w:r>
      <w:r>
        <w:rPr>
          <w:b/>
          <w:color w:val="231F20"/>
          <w:sz w:val="24"/>
          <w:szCs w:val="24"/>
        </w:rPr>
        <w:t>, B. Morgenstern, K. Hegetschweiler, D. Todorovsky.</w:t>
      </w:r>
      <w:r>
        <w:rPr>
          <w:b/>
          <w:bCs/>
          <w:color w:val="231F20"/>
          <w:sz w:val="24"/>
          <w:szCs w:val="24"/>
        </w:rPr>
        <w:t xml:space="preserve"> </w:t>
      </w:r>
      <w:r>
        <w:rPr>
          <w:bCs/>
          <w:color w:val="231F20"/>
          <w:sz w:val="24"/>
          <w:szCs w:val="24"/>
        </w:rPr>
        <w:t>Crystal structure of tetrabuthylammonium [tetrakis(dibenzoylmethanato) europium(III)]—dimethyl sulfoxide (1:1), [N(C</w:t>
      </w:r>
      <w:r>
        <w:rPr>
          <w:bCs/>
          <w:color w:val="231F20"/>
          <w:sz w:val="24"/>
          <w:szCs w:val="24"/>
          <w:vertAlign w:val="subscript"/>
        </w:rPr>
        <w:t>4</w:t>
      </w:r>
      <w:r>
        <w:rPr>
          <w:bCs/>
          <w:color w:val="231F20"/>
          <w:sz w:val="24"/>
          <w:szCs w:val="24"/>
        </w:rPr>
        <w:t>H</w:t>
      </w:r>
      <w:r>
        <w:rPr>
          <w:bCs/>
          <w:color w:val="231F20"/>
          <w:sz w:val="24"/>
          <w:szCs w:val="24"/>
          <w:vertAlign w:val="subscript"/>
        </w:rPr>
        <w:t>9</w:t>
      </w:r>
      <w:r>
        <w:rPr>
          <w:bCs/>
          <w:color w:val="231F20"/>
          <w:sz w:val="24"/>
          <w:szCs w:val="24"/>
        </w:rPr>
        <w:t>)</w:t>
      </w:r>
      <w:r>
        <w:rPr>
          <w:bCs/>
          <w:color w:val="231F20"/>
          <w:sz w:val="24"/>
          <w:szCs w:val="24"/>
          <w:vertAlign w:val="subscript"/>
        </w:rPr>
        <w:t>4</w:t>
      </w:r>
      <w:r>
        <w:rPr>
          <w:bCs/>
          <w:color w:val="231F20"/>
          <w:sz w:val="24"/>
          <w:szCs w:val="24"/>
        </w:rPr>
        <w:t>][Eu(C</w:t>
      </w:r>
      <w:r>
        <w:rPr>
          <w:bCs/>
          <w:color w:val="231F20"/>
          <w:sz w:val="24"/>
          <w:szCs w:val="24"/>
          <w:vertAlign w:val="subscript"/>
        </w:rPr>
        <w:t>15</w:t>
      </w:r>
      <w:r>
        <w:rPr>
          <w:bCs/>
          <w:color w:val="231F20"/>
          <w:sz w:val="24"/>
          <w:szCs w:val="24"/>
        </w:rPr>
        <w:t>H</w:t>
      </w:r>
      <w:r>
        <w:rPr>
          <w:bCs/>
          <w:color w:val="231F20"/>
          <w:sz w:val="24"/>
          <w:szCs w:val="24"/>
          <w:vertAlign w:val="subscript"/>
        </w:rPr>
        <w:t>11</w:t>
      </w:r>
      <w:r>
        <w:rPr>
          <w:bCs/>
          <w:color w:val="231F20"/>
          <w:sz w:val="24"/>
          <w:szCs w:val="24"/>
        </w:rPr>
        <w:t>O</w:t>
      </w:r>
      <w:r>
        <w:rPr>
          <w:bCs/>
          <w:color w:val="231F20"/>
          <w:sz w:val="24"/>
          <w:szCs w:val="24"/>
          <w:vertAlign w:val="subscript"/>
        </w:rPr>
        <w:t>2</w:t>
      </w:r>
      <w:r>
        <w:rPr>
          <w:bCs/>
          <w:color w:val="231F20"/>
          <w:sz w:val="24"/>
          <w:szCs w:val="24"/>
        </w:rPr>
        <w:t>)</w:t>
      </w:r>
      <w:r>
        <w:rPr>
          <w:bCs/>
          <w:color w:val="231F20"/>
          <w:sz w:val="24"/>
          <w:szCs w:val="24"/>
          <w:vertAlign w:val="subscript"/>
        </w:rPr>
        <w:t>4</w:t>
      </w:r>
      <w:r>
        <w:rPr>
          <w:bCs/>
          <w:color w:val="231F20"/>
          <w:sz w:val="24"/>
          <w:szCs w:val="24"/>
        </w:rPr>
        <w:t>] C</w:t>
      </w:r>
      <w:r>
        <w:rPr>
          <w:bCs/>
          <w:color w:val="231F20"/>
          <w:sz w:val="24"/>
          <w:szCs w:val="24"/>
          <w:vertAlign w:val="subscript"/>
        </w:rPr>
        <w:t>2</w:t>
      </w:r>
      <w:r>
        <w:rPr>
          <w:bCs/>
          <w:color w:val="231F20"/>
          <w:sz w:val="24"/>
          <w:szCs w:val="24"/>
        </w:rPr>
        <w:t>H</w:t>
      </w:r>
      <w:r>
        <w:rPr>
          <w:bCs/>
          <w:color w:val="231F20"/>
          <w:sz w:val="24"/>
          <w:szCs w:val="24"/>
          <w:vertAlign w:val="subscript"/>
        </w:rPr>
        <w:t>6</w:t>
      </w:r>
      <w:r>
        <w:rPr>
          <w:bCs/>
          <w:color w:val="231F20"/>
          <w:sz w:val="24"/>
          <w:szCs w:val="24"/>
        </w:rPr>
        <w:t xml:space="preserve">OS. - </w:t>
      </w:r>
      <w:r>
        <w:rPr>
          <w:i/>
          <w:color w:val="231F20"/>
          <w:sz w:val="24"/>
          <w:szCs w:val="24"/>
        </w:rPr>
        <w:t xml:space="preserve">Z. Kristallogr. NCS </w:t>
      </w:r>
      <w:r>
        <w:rPr>
          <w:b/>
          <w:bCs/>
          <w:i/>
          <w:color w:val="231F20"/>
          <w:sz w:val="24"/>
          <w:szCs w:val="24"/>
        </w:rPr>
        <w:t xml:space="preserve">225 </w:t>
      </w:r>
      <w:r>
        <w:rPr>
          <w:i/>
          <w:color w:val="231F20"/>
          <w:sz w:val="24"/>
          <w:szCs w:val="24"/>
        </w:rPr>
        <w:t>(2010</w:t>
      </w:r>
      <w:r>
        <w:rPr>
          <w:color w:val="231F20"/>
          <w:sz w:val="24"/>
          <w:szCs w:val="24"/>
        </w:rPr>
        <w:t>) 17-22</w:t>
      </w:r>
      <w:r>
        <w:rPr>
          <w:i/>
          <w:color w:val="231F20"/>
          <w:sz w:val="24"/>
          <w:szCs w:val="24"/>
        </w:rPr>
        <w:t xml:space="preserve">.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it-IT"/>
        </w:rPr>
        <w:t>Milanova</w:t>
      </w:r>
      <w:r>
        <w:rPr>
          <w:b/>
          <w:bCs/>
          <w:sz w:val="24"/>
          <w:szCs w:val="24"/>
          <w:lang w:val="it-IT"/>
        </w:rPr>
        <w:t>,</w:t>
      </w:r>
      <w:r>
        <w:rPr>
          <w:b/>
          <w:sz w:val="24"/>
          <w:szCs w:val="24"/>
          <w:lang w:val="it-IT"/>
        </w:rPr>
        <w:t xml:space="preserve"> M., </w:t>
      </w:r>
      <w:r>
        <w:rPr>
          <w:b/>
          <w:sz w:val="24"/>
          <w:szCs w:val="24"/>
          <w:u w:val="single"/>
          <w:lang w:val="it-IT"/>
        </w:rPr>
        <w:t>J. Zaharieva</w:t>
      </w:r>
      <w:r>
        <w:rPr>
          <w:b/>
          <w:sz w:val="24"/>
          <w:szCs w:val="24"/>
          <w:lang w:val="it-IT"/>
        </w:rPr>
        <w:t>, S. Anastasova, D. Todorovsky.</w:t>
      </w: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 xml:space="preserve">Ru(II) Complex Based Optical Oxygen Sensors. </w:t>
      </w:r>
      <w:r>
        <w:rPr>
          <w:i/>
          <w:sz w:val="24"/>
          <w:szCs w:val="24"/>
        </w:rPr>
        <w:t>Advanced Materials Res</w:t>
      </w:r>
      <w:r>
        <w:rPr>
          <w:sz w:val="24"/>
          <w:szCs w:val="24"/>
        </w:rPr>
        <w:t>. 123-125 (2010) 767-770.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b/>
          <w:color w:val="000000"/>
          <w:sz w:val="24"/>
          <w:szCs w:val="24"/>
          <w:u w:val="single"/>
          <w:lang w:val="it-IT"/>
        </w:rPr>
        <w:t>Zaharieva, J</w:t>
      </w:r>
      <w:r>
        <w:rPr>
          <w:b/>
          <w:color w:val="000000"/>
          <w:sz w:val="24"/>
          <w:szCs w:val="24"/>
          <w:lang w:val="it-IT"/>
        </w:rPr>
        <w:t>., M. Milanova, D. Todorovsky.</w:t>
      </w:r>
      <w:r>
        <w:rPr>
          <w:color w:val="000000"/>
          <w:sz w:val="24"/>
          <w:szCs w:val="24"/>
          <w:lang w:val="it-IT"/>
        </w:rPr>
        <w:t xml:space="preserve"> </w:t>
      </w:r>
      <w:r>
        <w:rPr>
          <w:rStyle w:val="txtboldonly"/>
          <w:color w:val="000000"/>
          <w:sz w:val="24"/>
          <w:szCs w:val="24"/>
        </w:rPr>
        <w:t>Europium dibenzoylmethane complexes in SiO</w:t>
      </w:r>
      <w:r>
        <w:rPr>
          <w:rStyle w:val="txtboldonly"/>
          <w:color w:val="000000"/>
          <w:sz w:val="24"/>
          <w:szCs w:val="24"/>
          <w:vertAlign w:val="subscript"/>
        </w:rPr>
        <w:t>2</w:t>
      </w:r>
      <w:r>
        <w:rPr>
          <w:rStyle w:val="txtboldonly"/>
          <w:color w:val="000000"/>
          <w:sz w:val="24"/>
          <w:szCs w:val="24"/>
        </w:rPr>
        <w:t xml:space="preserve">-based matrix. – </w:t>
      </w:r>
      <w:r>
        <w:rPr>
          <w:rStyle w:val="Emphasis"/>
          <w:color w:val="000000"/>
          <w:sz w:val="24"/>
          <w:szCs w:val="24"/>
        </w:rPr>
        <w:t>J. Optoelectronics Advanced Materials</w:t>
      </w:r>
      <w:r>
        <w:rPr>
          <w:color w:val="000000"/>
          <w:sz w:val="24"/>
          <w:szCs w:val="24"/>
        </w:rPr>
        <w:t xml:space="preserve"> </w:t>
      </w:r>
      <w:r>
        <w:rPr>
          <w:rStyle w:val="Strong"/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(2010)</w:t>
      </w:r>
      <w:r>
        <w:rPr>
          <w:i/>
          <w:color w:val="000000"/>
          <w:sz w:val="24"/>
          <w:szCs w:val="24"/>
        </w:rPr>
        <w:t xml:space="preserve"> 1247-1254.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caps/>
          <w:sz w:val="24"/>
          <w:szCs w:val="24"/>
        </w:rPr>
      </w:pPr>
      <w:r>
        <w:rPr>
          <w:b/>
          <w:sz w:val="24"/>
          <w:szCs w:val="24"/>
          <w:u w:val="single"/>
          <w:lang w:val="es-ES_tradnl"/>
        </w:rPr>
        <w:t>Zaharieva, J.,</w:t>
      </w:r>
      <w:r>
        <w:rPr>
          <w:b/>
          <w:sz w:val="24"/>
          <w:szCs w:val="24"/>
          <w:lang w:val="es-ES_tradnl"/>
        </w:rPr>
        <w:t xml:space="preserve"> M. Milanova, D. Todorovsky.</w:t>
      </w: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 xml:space="preserve">Synthesis conditions impact on the composition, structure and fluorescence properties of the europium dibenzoylmethane complexes. </w:t>
      </w:r>
      <w:r>
        <w:rPr>
          <w:i/>
          <w:color w:val="000000"/>
          <w:sz w:val="24"/>
          <w:szCs w:val="24"/>
        </w:rPr>
        <w:t xml:space="preserve">Synthesis Reactivity Inorganic, Metal-Organic, Nano-Metal Chemistry </w:t>
      </w:r>
      <w:r>
        <w:rPr>
          <w:color w:val="000000"/>
          <w:sz w:val="24"/>
          <w:szCs w:val="24"/>
        </w:rPr>
        <w:t xml:space="preserve">40 </w:t>
      </w:r>
      <w:r>
        <w:rPr>
          <w:b/>
          <w:color w:val="000000"/>
          <w:sz w:val="24"/>
          <w:szCs w:val="24"/>
        </w:rPr>
        <w:t>9</w:t>
      </w:r>
      <w:r>
        <w:rPr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(2010) 651-661.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caps/>
          <w:sz w:val="24"/>
          <w:szCs w:val="24"/>
        </w:rPr>
      </w:pPr>
      <w:r>
        <w:rPr>
          <w:b/>
          <w:sz w:val="24"/>
          <w:szCs w:val="24"/>
          <w:u w:val="single"/>
          <w:lang w:val="it-IT"/>
        </w:rPr>
        <w:t>Zaharieva, J</w:t>
      </w:r>
      <w:r>
        <w:rPr>
          <w:b/>
          <w:sz w:val="24"/>
          <w:szCs w:val="24"/>
          <w:u w:val="single"/>
        </w:rPr>
        <w:t>.,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it-IT"/>
        </w:rPr>
        <w:t xml:space="preserve">M. Milanova, D. Todorovsky. </w:t>
      </w:r>
      <w:r>
        <w:rPr>
          <w:sz w:val="24"/>
          <w:szCs w:val="24"/>
        </w:rPr>
        <w:t>Hybrid SiO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/polyester immobilization matrix for optical oxygen sensors, </w:t>
      </w:r>
      <w:r>
        <w:rPr>
          <w:i/>
          <w:sz w:val="24"/>
          <w:szCs w:val="24"/>
          <w:lang w:eastAsia="bg-BG"/>
        </w:rPr>
        <w:t>J. Mater. Chem.</w:t>
      </w:r>
      <w:r>
        <w:rPr>
          <w:sz w:val="24"/>
          <w:szCs w:val="24"/>
          <w:lang w:eastAsia="bg-BG"/>
        </w:rPr>
        <w:t xml:space="preserve"> 21 (2011) 4893–4903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it-IT"/>
        </w:rPr>
        <w:t>Zaharieva, J</w:t>
      </w:r>
      <w:r>
        <w:rPr>
          <w:b/>
          <w:sz w:val="24"/>
          <w:szCs w:val="24"/>
          <w:u w:val="single"/>
        </w:rPr>
        <w:t>.,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it-IT"/>
        </w:rPr>
        <w:t xml:space="preserve">M. Milanova, D. Todorovsky. </w:t>
      </w:r>
      <w:r>
        <w:rPr>
          <w:sz w:val="24"/>
          <w:szCs w:val="24"/>
        </w:rPr>
        <w:t xml:space="preserve">On the mechanochemical synthesis of europium complexes with β-diketonates.  </w:t>
      </w:r>
      <w:r>
        <w:rPr>
          <w:i/>
          <w:sz w:val="24"/>
          <w:szCs w:val="24"/>
        </w:rPr>
        <w:t>Cent. Eur. J. Chem.</w:t>
      </w:r>
      <w:r>
        <w:rPr>
          <w:sz w:val="24"/>
          <w:szCs w:val="24"/>
        </w:rPr>
        <w:t xml:space="preserve">  9(2) ( 2011) 290-299.</w:t>
      </w:r>
      <w:r>
        <w:rPr>
          <w:b/>
          <w:color w:val="231F20"/>
          <w:sz w:val="24"/>
          <w:szCs w:val="24"/>
        </w:rPr>
        <w:t xml:space="preserve">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it-IT"/>
        </w:rPr>
        <w:t>Zaharieva, J</w:t>
      </w:r>
      <w:r>
        <w:rPr>
          <w:b/>
          <w:sz w:val="24"/>
          <w:szCs w:val="24"/>
          <w:u w:val="single"/>
        </w:rPr>
        <w:t>.,</w:t>
      </w:r>
      <w:r>
        <w:rPr>
          <w:b/>
          <w:sz w:val="24"/>
          <w:szCs w:val="24"/>
          <w:lang w:val="it-IT"/>
        </w:rPr>
        <w:t xml:space="preserve"> M. Milanova, D. Todorovsky. </w:t>
      </w:r>
      <w:r>
        <w:rPr>
          <w:sz w:val="24"/>
          <w:szCs w:val="24"/>
          <w:lang w:eastAsia="bg-BG"/>
        </w:rPr>
        <w:t xml:space="preserve">Poly(methylmethacrylate) as immobilization matrix for europium  </w:t>
      </w:r>
      <w:r>
        <w:rPr>
          <w:sz w:val="24"/>
          <w:szCs w:val="24"/>
        </w:rPr>
        <w:t>β-diketonates</w:t>
      </w:r>
      <w:r>
        <w:rPr>
          <w:sz w:val="24"/>
          <w:szCs w:val="24"/>
          <w:lang w:eastAsia="bg-BG"/>
        </w:rPr>
        <w:t xml:space="preserve"> – morphology and fluorescent properties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Applied Surface Science</w:t>
      </w:r>
      <w:r>
        <w:rPr>
          <w:sz w:val="24"/>
          <w:szCs w:val="24"/>
        </w:rPr>
        <w:t xml:space="preserve"> 257 (2011) 6858–6866.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bg-BG"/>
        </w:rPr>
      </w:pPr>
      <w:r>
        <w:rPr>
          <w:rStyle w:val="AuthorsChar"/>
          <w:b/>
        </w:rPr>
        <w:t>Milanova, M., J. Zaharieva, I. Manolov, M. Getzova, D. Todorovsky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eastAsia="bg-BG"/>
        </w:rPr>
        <w:t xml:space="preserve">Lanthanide complexes with β-diketones and coumarin derivates: synthesis,thermal behaviour, optical and pharmacological properties and immobilization, </w:t>
      </w:r>
      <w:r>
        <w:rPr>
          <w:i/>
          <w:sz w:val="24"/>
          <w:szCs w:val="24"/>
          <w:lang w:eastAsia="bg-BG"/>
        </w:rPr>
        <w:t>J. Rare Earths, Vol. 28 ( 2010)  66-74</w:t>
      </w:r>
      <w:r>
        <w:rPr>
          <w:sz w:val="24"/>
          <w:szCs w:val="24"/>
          <w:lang w:eastAsia="bg-BG"/>
        </w:rPr>
        <w:t xml:space="preserve">. </w:t>
      </w:r>
    </w:p>
    <w:p w:rsidR="00EF5EC0" w:rsidRDefault="00EF5EC0" w:rsidP="00EF5EC0">
      <w:pPr>
        <w:pStyle w:val="ListParagraph"/>
        <w:ind w:left="644"/>
        <w:rPr>
          <w:rFonts w:ascii="Times New Roman" w:hAnsi="Times New Roman"/>
          <w:szCs w:val="24"/>
          <w:lang w:val="en-GB"/>
        </w:rPr>
      </w:pP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s-ES_tradnl"/>
        </w:rPr>
        <w:t>Zaharieva, J.,</w:t>
      </w:r>
      <w:r>
        <w:rPr>
          <w:b/>
          <w:sz w:val="24"/>
          <w:szCs w:val="24"/>
          <w:lang w:val="es-ES_tradnl"/>
        </w:rPr>
        <w:t xml:space="preserve"> M. Milanova, N. Vasilev, </w:t>
      </w:r>
      <w:r>
        <w:rPr>
          <w:b/>
          <w:sz w:val="24"/>
          <w:szCs w:val="24"/>
        </w:rPr>
        <w:t xml:space="preserve">B. Morgenstern, </w:t>
      </w:r>
      <w:r>
        <w:rPr>
          <w:b/>
          <w:sz w:val="24"/>
          <w:szCs w:val="24"/>
          <w:lang w:val="es-ES_tradnl"/>
        </w:rPr>
        <w:t>D. Todorovsky.</w:t>
      </w:r>
      <w:r>
        <w:rPr>
          <w:sz w:val="24"/>
          <w:szCs w:val="24"/>
        </w:rPr>
        <w:t xml:space="preserve">X-ray powder diffractometry and NMR studies of europium dibenzoylmetane complexes, </w:t>
      </w:r>
      <w:r>
        <w:rPr>
          <w:i/>
          <w:sz w:val="24"/>
          <w:szCs w:val="24"/>
        </w:rPr>
        <w:t xml:space="preserve">Bul. Chem. Comm. </w:t>
      </w:r>
      <w:r>
        <w:rPr>
          <w:sz w:val="24"/>
          <w:szCs w:val="24"/>
        </w:rPr>
        <w:t>43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(2011) 558-562.</w:t>
      </w:r>
      <w:r>
        <w:rPr>
          <w:b/>
          <w:sz w:val="24"/>
          <w:szCs w:val="24"/>
        </w:rPr>
        <w:t xml:space="preserve">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it-IT"/>
        </w:rPr>
        <w:t>Zaharieva, J.</w:t>
      </w:r>
      <w:r>
        <w:rPr>
          <w:b/>
          <w:sz w:val="24"/>
          <w:szCs w:val="24"/>
          <w:lang w:val="it-IT"/>
        </w:rPr>
        <w:t xml:space="preserve">, M. Milanova, D. Todorovsky, </w:t>
      </w:r>
      <w:r>
        <w:rPr>
          <w:sz w:val="24"/>
          <w:szCs w:val="24"/>
          <w:lang w:eastAsia="bg-BG"/>
        </w:rPr>
        <w:t>Poly(methylmethacrylate) as immobilization matrix for</w:t>
      </w:r>
      <w:r>
        <w:rPr>
          <w:sz w:val="24"/>
          <w:szCs w:val="24"/>
        </w:rPr>
        <w:t xml:space="preserve"> Ru(II)-complex, a potential optical oxygen sensor, </w:t>
      </w:r>
      <w:r>
        <w:rPr>
          <w:rStyle w:val="Emphasis"/>
          <w:color w:val="000000"/>
          <w:sz w:val="24"/>
          <w:szCs w:val="24"/>
        </w:rPr>
        <w:t>J. Optoelectronics Advanced Materials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13(6)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2011) 727-732.</w:t>
      </w:r>
      <w:r>
        <w:rPr>
          <w:sz w:val="24"/>
          <w:szCs w:val="24"/>
          <w:lang w:val="bg-BG"/>
        </w:rPr>
        <w:t xml:space="preserve">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Milanova</w:t>
      </w:r>
      <w:bookmarkStart w:id="1" w:name="bcor0005"/>
      <w:bookmarkEnd w:id="1"/>
      <w:r>
        <w:rPr>
          <w:b/>
          <w:bCs/>
          <w:color w:val="000000"/>
          <w:sz w:val="24"/>
          <w:szCs w:val="24"/>
        </w:rPr>
        <w:t xml:space="preserve"> M., I.Koleva, R. Todorovska, </w:t>
      </w:r>
      <w:r>
        <w:rPr>
          <w:b/>
          <w:bCs/>
          <w:color w:val="000000"/>
          <w:sz w:val="24"/>
          <w:szCs w:val="24"/>
          <w:u w:val="single"/>
        </w:rPr>
        <w:t>J. Zaharieva</w:t>
      </w:r>
      <w:r>
        <w:rPr>
          <w:b/>
          <w:bCs/>
          <w:color w:val="000000"/>
          <w:sz w:val="24"/>
          <w:szCs w:val="24"/>
        </w:rPr>
        <w:t>, M. Кostadinov, D. Todorovsky,</w:t>
      </w:r>
      <w:r>
        <w:rPr>
          <w:sz w:val="24"/>
          <w:szCs w:val="24"/>
        </w:rPr>
        <w:t xml:space="preserve"> Polymetalic citric complexes as precursors for spray-pyrolysis deposition of thin ferrites films, </w:t>
      </w:r>
      <w:r>
        <w:rPr>
          <w:i/>
          <w:sz w:val="24"/>
          <w:szCs w:val="24"/>
        </w:rPr>
        <w:t xml:space="preserve">Applied Surface Science, </w:t>
      </w:r>
      <w:r>
        <w:rPr>
          <w:sz w:val="24"/>
          <w:szCs w:val="24"/>
        </w:rPr>
        <w:t xml:space="preserve"> 257 (17)  (2011) 7821-7826.</w:t>
      </w:r>
      <w:r>
        <w:rPr>
          <w:b/>
          <w:color w:val="231F20"/>
          <w:sz w:val="24"/>
          <w:szCs w:val="24"/>
        </w:rPr>
        <w:t xml:space="preserve">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it-IT"/>
        </w:rPr>
        <w:t>Zaharieva, J.</w:t>
      </w:r>
      <w:r>
        <w:rPr>
          <w:b/>
          <w:sz w:val="24"/>
          <w:szCs w:val="24"/>
          <w:lang w:val="it-IT"/>
        </w:rPr>
        <w:t>, M. Milanova, D. Todorovsky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echanochemical synthesis of thenoyltrifluoroacetone-1,10-phenanthroline europium complex, </w:t>
      </w:r>
      <w:r>
        <w:rPr>
          <w:i/>
          <w:sz w:val="24"/>
          <w:szCs w:val="24"/>
        </w:rPr>
        <w:t>Cent. Eur. J. Chem.</w:t>
      </w:r>
      <w:r>
        <w:rPr>
          <w:sz w:val="24"/>
          <w:szCs w:val="24"/>
        </w:rPr>
        <w:t xml:space="preserve">, </w:t>
      </w:r>
    </w:p>
    <w:p w:rsidR="00EF5EC0" w:rsidRDefault="00EF5EC0" w:rsidP="00EF5EC0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(6) (2012) 1907-1912.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Milanova M., P. Kovacheva, R. Kralchevska, J. Kolev,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J. Zaharieva</w:t>
      </w:r>
      <w:r>
        <w:rPr>
          <w:b/>
          <w:sz w:val="24"/>
          <w:szCs w:val="24"/>
        </w:rPr>
        <w:t xml:space="preserve">, D. Todorovsky, </w:t>
      </w:r>
      <w:r>
        <w:rPr>
          <w:sz w:val="24"/>
          <w:szCs w:val="24"/>
          <w:lang w:eastAsia="bg-BG"/>
        </w:rPr>
        <w:t>The radioactivity and the chemical nature of additives as factors determining the photocatalytiactivity of TiO</w:t>
      </w:r>
      <w:r>
        <w:rPr>
          <w:sz w:val="24"/>
          <w:szCs w:val="24"/>
          <w:vertAlign w:val="subscript"/>
          <w:lang w:eastAsia="bg-BG"/>
        </w:rPr>
        <w:t>2</w:t>
      </w:r>
      <w:r>
        <w:rPr>
          <w:sz w:val="24"/>
          <w:szCs w:val="24"/>
          <w:lang w:eastAsia="bg-BG"/>
        </w:rPr>
        <w:t xml:space="preserve"> </w:t>
      </w:r>
      <w:r>
        <w:rPr>
          <w:i/>
          <w:sz w:val="24"/>
          <w:szCs w:val="24"/>
        </w:rPr>
        <w:t>Cent. Eur. J. Chem.</w:t>
      </w:r>
      <w:r>
        <w:rPr>
          <w:sz w:val="24"/>
          <w:szCs w:val="24"/>
        </w:rPr>
        <w:t>, 10 (6) (2012) 1850-1858.</w:t>
      </w:r>
      <w:r>
        <w:rPr>
          <w:b/>
          <w:color w:val="231F20"/>
          <w:sz w:val="24"/>
          <w:szCs w:val="24"/>
        </w:rPr>
        <w:t xml:space="preserve">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 xml:space="preserve">Getsova M., V. Kircheva, </w:t>
      </w:r>
      <w:r>
        <w:rPr>
          <w:b/>
          <w:sz w:val="24"/>
          <w:szCs w:val="24"/>
          <w:u w:val="single"/>
          <w:lang w:val="it-IT"/>
        </w:rPr>
        <w:t>J. Zaharieva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I. Manolov, H. Naruke, M. Milanova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Luminescence properties of a </w:t>
      </w:r>
      <w:r>
        <w:rPr>
          <w:sz w:val="24"/>
          <w:szCs w:val="24"/>
        </w:rPr>
        <w:t xml:space="preserve">Nd(III) coumarin derivative complex </w:t>
      </w:r>
      <w:r>
        <w:rPr>
          <w:bCs/>
          <w:sz w:val="24"/>
          <w:szCs w:val="24"/>
        </w:rPr>
        <w:t xml:space="preserve">immobilized in </w:t>
      </w:r>
      <w:r>
        <w:rPr>
          <w:sz w:val="24"/>
          <w:szCs w:val="24"/>
        </w:rPr>
        <w:t>a poly(methylmethacrylate)</w:t>
      </w:r>
      <w:r>
        <w:rPr>
          <w:bCs/>
          <w:sz w:val="24"/>
          <w:szCs w:val="24"/>
        </w:rPr>
        <w:t xml:space="preserve"> matrix,  </w:t>
      </w:r>
      <w:r>
        <w:rPr>
          <w:rStyle w:val="Emphasis"/>
          <w:color w:val="000000"/>
          <w:sz w:val="24"/>
          <w:szCs w:val="24"/>
        </w:rPr>
        <w:t>J. Optoelectronics Advanced Materials</w:t>
      </w:r>
      <w:r>
        <w:rPr>
          <w:color w:val="000000"/>
          <w:sz w:val="24"/>
          <w:szCs w:val="24"/>
        </w:rPr>
        <w:t xml:space="preserve"> 14 </w:t>
      </w:r>
      <w:r>
        <w:rPr>
          <w:sz w:val="24"/>
          <w:szCs w:val="24"/>
        </w:rPr>
        <w:t>(5-6)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2012) 685-692.</w:t>
      </w:r>
      <w:r>
        <w:rPr>
          <w:b/>
          <w:color w:val="231F20"/>
          <w:sz w:val="24"/>
          <w:szCs w:val="24"/>
        </w:rPr>
        <w:t xml:space="preserve"> </w:t>
      </w:r>
    </w:p>
    <w:p w:rsidR="00EF5EC0" w:rsidRDefault="00EF5EC0" w:rsidP="00EF5EC0">
      <w:pPr>
        <w:pStyle w:val="ListParagraph"/>
        <w:numPr>
          <w:ilvl w:val="0"/>
          <w:numId w:val="14"/>
        </w:numPr>
        <w:tabs>
          <w:tab w:val="num" w:pos="786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  <w:lang w:val="en-GB"/>
        </w:rPr>
        <w:t>Zaharieva, J</w:t>
      </w:r>
      <w:r>
        <w:rPr>
          <w:rFonts w:ascii="Times New Roman" w:hAnsi="Times New Roman"/>
          <w:b/>
          <w:szCs w:val="24"/>
          <w:lang w:val="en-GB"/>
        </w:rPr>
        <w:t xml:space="preserve">., M. Milanova, D. Todorovsky, </w:t>
      </w:r>
      <w:r>
        <w:rPr>
          <w:rFonts w:ascii="Times New Roman" w:hAnsi="Times New Roman"/>
          <w:szCs w:val="24"/>
          <w:lang w:val="en-GB"/>
        </w:rPr>
        <w:t xml:space="preserve">Some limitations using optical sensors for determination of dissolved oxygen in wine. – </w:t>
      </w:r>
      <w:r>
        <w:rPr>
          <w:rFonts w:ascii="Times New Roman" w:hAnsi="Times New Roman"/>
          <w:i/>
          <w:szCs w:val="24"/>
          <w:lang w:val="en-GB"/>
        </w:rPr>
        <w:t>Bulg. Chem. Commun. 45 (2013) 32-36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EF5EC0" w:rsidRDefault="00EF5EC0" w:rsidP="00EF5EC0">
      <w:pPr>
        <w:pStyle w:val="ListParagraph"/>
        <w:numPr>
          <w:ilvl w:val="0"/>
          <w:numId w:val="14"/>
        </w:numPr>
        <w:tabs>
          <w:tab w:val="num" w:pos="786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eastAsia="bg-BG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eastAsia="bg-BG"/>
        </w:rPr>
        <w:t xml:space="preserve">Elenkova D., M. Getsova, </w:t>
      </w:r>
      <w:r>
        <w:rPr>
          <w:rFonts w:ascii="Times New Roman" w:hAnsi="Times New Roman"/>
          <w:b/>
          <w:color w:val="000000"/>
          <w:szCs w:val="24"/>
          <w:u w:val="single"/>
          <w:lang w:eastAsia="bg-BG"/>
        </w:rPr>
        <w:t>J. Zaharieva</w:t>
      </w:r>
      <w:r>
        <w:rPr>
          <w:rFonts w:ascii="Times New Roman" w:hAnsi="Times New Roman"/>
          <w:b/>
          <w:color w:val="000000"/>
          <w:szCs w:val="24"/>
          <w:lang w:eastAsia="bg-BG"/>
        </w:rPr>
        <w:t xml:space="preserve">, I. Manolov, M. Milanova, </w:t>
      </w:r>
      <w:r>
        <w:rPr>
          <w:rFonts w:ascii="Times New Roman" w:hAnsi="Times New Roman"/>
          <w:szCs w:val="24"/>
          <w:lang w:eastAsia="bg-BG"/>
        </w:rPr>
        <w:t xml:space="preserve"> Synthesis of </w:t>
      </w:r>
      <w:r>
        <w:rPr>
          <w:rFonts w:ascii="Times New Roman" w:hAnsi="Times New Roman"/>
          <w:color w:val="000000"/>
          <w:szCs w:val="24"/>
          <w:lang w:eastAsia="bg-BG"/>
        </w:rPr>
        <w:t xml:space="preserve">terbium(III) complex with a biscoumarin derivative and its immobilization in PMMA-based composite thin films with fluorescent properties, </w:t>
      </w:r>
      <w:r>
        <w:rPr>
          <w:rFonts w:ascii="Times New Roman" w:hAnsi="Times New Roman"/>
          <w:i/>
          <w:szCs w:val="24"/>
        </w:rPr>
        <w:t>Cent. Eur. J. Chem.</w:t>
      </w:r>
      <w:r>
        <w:rPr>
          <w:rFonts w:ascii="Times New Roman" w:hAnsi="Times New Roman"/>
          <w:szCs w:val="24"/>
        </w:rPr>
        <w:t xml:space="preserve">, 11 (7) (2013) 1032-1041. </w:t>
      </w:r>
    </w:p>
    <w:p w:rsidR="00EF5EC0" w:rsidRDefault="00EF5EC0" w:rsidP="00EF5EC0">
      <w:pPr>
        <w:pStyle w:val="ECVSectionBullet"/>
        <w:numPr>
          <w:ilvl w:val="0"/>
          <w:numId w:val="14"/>
        </w:num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Ţălu Ş., Stach S., </w:t>
      </w:r>
      <w:r>
        <w:rPr>
          <w:rFonts w:ascii="Times New Roman" w:eastAsia="Times New Roman" w:hAnsi="Times New Roman" w:cs="Times New Roman"/>
          <w:b/>
          <w:color w:val="000000"/>
          <w:spacing w:val="0"/>
          <w:kern w:val="0"/>
          <w:sz w:val="24"/>
          <w:szCs w:val="24"/>
          <w:u w:val="single"/>
          <w:lang w:val="en-US" w:eastAsia="bg-BG"/>
        </w:rPr>
        <w:t>Zaharieva J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., Milanova M., Todorovsky D., Giovanzana S. (2014) Surface roughness characterization of poly(methylmethacrylate) films with immobilized Eu(III) β-diketonates by fractal analysis, </w:t>
      </w: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szCs w:val="24"/>
          <w:lang w:val="en-US" w:eastAsia="bg-BG"/>
        </w:rPr>
        <w:t>Int. J. Polym. Anal. Chem.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 19 (5):404-421</w:t>
      </w:r>
      <w:r>
        <w:rPr>
          <w:rFonts w:ascii="Times New Roman" w:eastAsia="Times New Roman" w:hAnsi="Times New Roman" w:cs="Times New Roman"/>
          <w:b/>
          <w:color w:val="000000"/>
          <w:spacing w:val="0"/>
          <w:kern w:val="0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kern w:val="0"/>
          <w:sz w:val="24"/>
          <w:szCs w:val="24"/>
          <w:lang w:val="en-US" w:eastAsia="bg-BG"/>
        </w:rPr>
        <w:t xml:space="preserve"> </w:t>
      </w:r>
    </w:p>
    <w:p w:rsidR="00EF5EC0" w:rsidRDefault="00EF5EC0" w:rsidP="00EF5EC0">
      <w:pPr>
        <w:pStyle w:val="ECVSectionBullet"/>
        <w:numPr>
          <w:ilvl w:val="0"/>
          <w:numId w:val="14"/>
        </w:numPr>
        <w:tabs>
          <w:tab w:val="left" w:pos="1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 Milanova M., </w:t>
      </w:r>
      <w:r>
        <w:rPr>
          <w:rFonts w:ascii="Times New Roman" w:eastAsia="Times New Roman" w:hAnsi="Times New Roman" w:cs="Times New Roman"/>
          <w:b/>
          <w:color w:val="000000"/>
          <w:spacing w:val="0"/>
          <w:kern w:val="0"/>
          <w:sz w:val="24"/>
          <w:szCs w:val="24"/>
          <w:u w:val="single"/>
          <w:lang w:val="en-US" w:eastAsia="bg-BG"/>
        </w:rPr>
        <w:t>Zaharieva J.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>, Todorovska R., Todorovsky D. (2014) Polymetallic citric complexes as precursors for spray-pyrolysis deposition of thin LaFeO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vertAlign w:val="subscript"/>
          <w:lang w:val="en-US" w:eastAsia="bg-BG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 films, </w:t>
      </w: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szCs w:val="24"/>
          <w:lang w:val="en-US" w:eastAsia="bg-BG"/>
        </w:rPr>
        <w:t>Thin Solid Films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>, 562:43-48.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kern w:val="0"/>
          <w:sz w:val="24"/>
          <w:szCs w:val="24"/>
          <w:lang w:val="en-US" w:eastAsia="bg-BG"/>
        </w:rPr>
        <w:t xml:space="preserve"> </w:t>
      </w:r>
    </w:p>
    <w:p w:rsidR="00EF5EC0" w:rsidRDefault="00EF5EC0" w:rsidP="00EF5EC0">
      <w:pPr>
        <w:pStyle w:val="ECVSectionBullet"/>
        <w:numPr>
          <w:ilvl w:val="0"/>
          <w:numId w:val="14"/>
        </w:numPr>
        <w:tabs>
          <w:tab w:val="left" w:pos="1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Ţălu Ş., Stach S., </w:t>
      </w:r>
      <w:r>
        <w:rPr>
          <w:rFonts w:ascii="Times New Roman" w:eastAsia="Times New Roman" w:hAnsi="Times New Roman" w:cs="Times New Roman"/>
          <w:b/>
          <w:color w:val="000000"/>
          <w:spacing w:val="0"/>
          <w:kern w:val="0"/>
          <w:sz w:val="24"/>
          <w:szCs w:val="24"/>
          <w:u w:val="single"/>
          <w:lang w:val="en-US" w:eastAsia="bg-BG"/>
        </w:rPr>
        <w:t>Zaharieva J.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>, Milanova M., Getsova M., Elenkova D., Milanova M. (2014) Micromorphology characterization of SiO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vertAlign w:val="subscript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-based composite thin films with immobilized terbium(III) complex, </w:t>
      </w: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szCs w:val="24"/>
          <w:lang w:val="en-US" w:eastAsia="bg-BG"/>
        </w:rPr>
        <w:t>Int. J. Polym. Anal. Chem.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>19 (7) 648-660.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kern w:val="0"/>
          <w:sz w:val="24"/>
          <w:szCs w:val="24"/>
          <w:lang w:val="en-US" w:eastAsia="bg-BG"/>
        </w:rPr>
        <w:t xml:space="preserve"> </w:t>
      </w:r>
    </w:p>
    <w:p w:rsidR="00EF5EC0" w:rsidRDefault="00EF5EC0" w:rsidP="00EF5EC0">
      <w:pPr>
        <w:pStyle w:val="ECVSectionBullet"/>
        <w:numPr>
          <w:ilvl w:val="0"/>
          <w:numId w:val="14"/>
        </w:numPr>
        <w:tabs>
          <w:tab w:val="left" w:pos="284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Elenkova D., 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u w:val="single"/>
          <w:lang w:val="en-US" w:eastAsia="bg-BG"/>
        </w:rPr>
        <w:t>Zaharieva J.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>, Getsova M., Manolov I., Milanova M., Stach S., Ţălu Ş. (2015)    Morphology and Optical Properties of SiO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vertAlign w:val="subscript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-Based Composite Thin Films with Immobilized Terbium(III) Complex with a Biscoumarin Derivative, </w:t>
      </w: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szCs w:val="24"/>
          <w:lang w:val="en-US" w:eastAsia="bg-BG"/>
        </w:rPr>
        <w:t>Int. J. Polym. Anal. Chem.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zCs w:val="24"/>
          <w:lang w:val="en-US" w:eastAsia="bg-BG"/>
        </w:rPr>
        <w:t xml:space="preserve"> 20 (1):42-46.</w:t>
      </w:r>
      <w:r>
        <w:rPr>
          <w:rFonts w:ascii="Times New Roman" w:eastAsia="Times New Roman" w:hAnsi="Times New Roman" w:cs="Times New Roman"/>
          <w:b/>
          <w:color w:val="000000"/>
          <w:spacing w:val="0"/>
          <w:kern w:val="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kern w:val="0"/>
          <w:sz w:val="24"/>
          <w:szCs w:val="24"/>
          <w:lang w:val="en-US" w:eastAsia="bg-BG"/>
        </w:rPr>
        <w:t xml:space="preserve"> 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en-US" w:eastAsia="bg-BG"/>
        </w:rPr>
      </w:pPr>
      <w:r>
        <w:rPr>
          <w:sz w:val="24"/>
          <w:szCs w:val="24"/>
          <w:lang w:eastAsia="x-none"/>
        </w:rPr>
        <w:t>Ahmedova A., Mihaylova R., Momekova D., Shestakova P., Stoykova S</w:t>
      </w:r>
      <w:r>
        <w:rPr>
          <w:b/>
          <w:sz w:val="24"/>
          <w:szCs w:val="24"/>
          <w:lang w:eastAsia="x-none"/>
        </w:rPr>
        <w:t>., Zaharieva J</w:t>
      </w:r>
      <w:r>
        <w:rPr>
          <w:sz w:val="24"/>
          <w:szCs w:val="24"/>
          <w:lang w:eastAsia="x-none"/>
        </w:rPr>
        <w:t>.,Yamashina M., Momekov G., Akitad M., and Yoshizawad M., (2016)</w:t>
      </w:r>
      <w:r>
        <w:rPr>
          <w:sz w:val="24"/>
          <w:szCs w:val="24"/>
          <w:lang w:val="bg-BG" w:eastAsia="x-none"/>
        </w:rPr>
        <w:t xml:space="preserve"> </w:t>
      </w:r>
      <w:r>
        <w:rPr>
          <w:sz w:val="24"/>
          <w:szCs w:val="24"/>
          <w:lang w:eastAsia="bg-BG"/>
        </w:rPr>
        <w:t>M</w:t>
      </w:r>
      <w:r>
        <w:rPr>
          <w:sz w:val="24"/>
          <w:szCs w:val="24"/>
          <w:vertAlign w:val="subscript"/>
          <w:lang w:eastAsia="bg-BG"/>
        </w:rPr>
        <w:t>2</w:t>
      </w:r>
      <w:r>
        <w:rPr>
          <w:sz w:val="24"/>
          <w:szCs w:val="24"/>
          <w:lang w:eastAsia="bg-BG"/>
        </w:rPr>
        <w:t>L</w:t>
      </w:r>
      <w:r>
        <w:rPr>
          <w:sz w:val="24"/>
          <w:szCs w:val="24"/>
          <w:vertAlign w:val="subscript"/>
          <w:lang w:eastAsia="bg-BG"/>
        </w:rPr>
        <w:t>4</w:t>
      </w:r>
      <w:r>
        <w:rPr>
          <w:sz w:val="24"/>
          <w:szCs w:val="24"/>
          <w:lang w:eastAsia="bg-BG"/>
        </w:rPr>
        <w:t xml:space="preserve"> coordination capsules with tunable anticancer activity upon guest encapsulation”, </w:t>
      </w:r>
      <w:r>
        <w:rPr>
          <w:i/>
          <w:sz w:val="24"/>
          <w:szCs w:val="24"/>
        </w:rPr>
        <w:t xml:space="preserve">Dalton Transactions, </w:t>
      </w:r>
      <w:r>
        <w:rPr>
          <w:sz w:val="24"/>
          <w:szCs w:val="24"/>
        </w:rPr>
        <w:t>45 (33):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13214-13221.</w:t>
      </w:r>
      <w:r>
        <w:rPr>
          <w:sz w:val="24"/>
          <w:szCs w:val="24"/>
          <w:lang w:eastAsia="bg-BG"/>
        </w:rPr>
        <w:t> </w:t>
      </w:r>
    </w:p>
    <w:p w:rsidR="00EF5EC0" w:rsidRDefault="00EF5EC0" w:rsidP="00EF5EC0">
      <w:pPr>
        <w:widowControl/>
        <w:numPr>
          <w:ilvl w:val="0"/>
          <w:numId w:val="14"/>
        </w:numPr>
        <w:suppressAutoHyphens w:val="0"/>
        <w:autoSpaceDN w:val="0"/>
        <w:spacing w:line="276" w:lineRule="auto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Tsvetkov M., Milanova M., Pereira L. C. J., Waerenborgh J. C., Cherkezova-Zheleva Z., </w:t>
      </w:r>
      <w:r>
        <w:rPr>
          <w:b/>
          <w:sz w:val="24"/>
          <w:szCs w:val="24"/>
          <w:lang w:eastAsia="x-none"/>
        </w:rPr>
        <w:t>Zaharieva J.</w:t>
      </w:r>
      <w:r>
        <w:rPr>
          <w:sz w:val="24"/>
          <w:szCs w:val="24"/>
          <w:lang w:eastAsia="x-none"/>
        </w:rPr>
        <w:t>, Mitov I., (2017) Magnetic properties of binary and ternary mixed metal oxides NiFe</w:t>
      </w:r>
      <w:r>
        <w:rPr>
          <w:sz w:val="24"/>
          <w:szCs w:val="24"/>
          <w:vertAlign w:val="subscript"/>
          <w:lang w:eastAsia="x-none"/>
        </w:rPr>
        <w:t>2</w:t>
      </w:r>
      <w:r>
        <w:rPr>
          <w:sz w:val="24"/>
          <w:szCs w:val="24"/>
          <w:lang w:eastAsia="x-none"/>
        </w:rPr>
        <w:t>O</w:t>
      </w:r>
      <w:r>
        <w:rPr>
          <w:sz w:val="24"/>
          <w:szCs w:val="24"/>
          <w:vertAlign w:val="subscript"/>
          <w:lang w:eastAsia="x-none"/>
        </w:rPr>
        <w:t>4</w:t>
      </w:r>
      <w:r>
        <w:rPr>
          <w:sz w:val="24"/>
          <w:szCs w:val="24"/>
          <w:lang w:eastAsia="x-none"/>
        </w:rPr>
        <w:t xml:space="preserve"> and Zn</w:t>
      </w:r>
      <w:r>
        <w:rPr>
          <w:sz w:val="24"/>
          <w:szCs w:val="24"/>
          <w:vertAlign w:val="subscript"/>
          <w:lang w:eastAsia="x-none"/>
        </w:rPr>
        <w:t>0.5</w:t>
      </w:r>
      <w:r>
        <w:rPr>
          <w:sz w:val="24"/>
          <w:szCs w:val="24"/>
          <w:lang w:eastAsia="x-none"/>
        </w:rPr>
        <w:t>Ni</w:t>
      </w:r>
      <w:r>
        <w:rPr>
          <w:sz w:val="24"/>
          <w:szCs w:val="24"/>
          <w:vertAlign w:val="subscript"/>
          <w:lang w:eastAsia="x-none"/>
        </w:rPr>
        <w:t>0.5</w:t>
      </w:r>
      <w:r>
        <w:rPr>
          <w:sz w:val="24"/>
          <w:szCs w:val="24"/>
          <w:lang w:eastAsia="x-none"/>
        </w:rPr>
        <w:t>Fe</w:t>
      </w:r>
      <w:r>
        <w:rPr>
          <w:sz w:val="24"/>
          <w:szCs w:val="24"/>
          <w:vertAlign w:val="subscript"/>
          <w:lang w:eastAsia="x-none"/>
        </w:rPr>
        <w:t>2</w:t>
      </w:r>
      <w:r>
        <w:rPr>
          <w:sz w:val="24"/>
          <w:szCs w:val="24"/>
          <w:lang w:eastAsia="x-none"/>
        </w:rPr>
        <w:t>O</w:t>
      </w:r>
      <w:r>
        <w:rPr>
          <w:sz w:val="24"/>
          <w:szCs w:val="24"/>
          <w:vertAlign w:val="subscript"/>
          <w:lang w:eastAsia="x-none"/>
        </w:rPr>
        <w:t>4</w:t>
      </w:r>
      <w:r>
        <w:rPr>
          <w:sz w:val="24"/>
          <w:szCs w:val="24"/>
          <w:lang w:eastAsia="x-none"/>
        </w:rPr>
        <w:t xml:space="preserve">, doped with rare earths by sol–gel synthesis“, </w:t>
      </w:r>
      <w:r>
        <w:rPr>
          <w:i/>
          <w:sz w:val="24"/>
          <w:szCs w:val="24"/>
          <w:lang w:eastAsia="x-none"/>
        </w:rPr>
        <w:t xml:space="preserve">Chem. Papers </w:t>
      </w:r>
      <w:r>
        <w:rPr>
          <w:sz w:val="24"/>
          <w:szCs w:val="24"/>
          <w:lang w:eastAsia="x-none"/>
        </w:rPr>
        <w:t>70 (12): 1600-1610</w:t>
      </w:r>
      <w:r>
        <w:rPr>
          <w:sz w:val="24"/>
          <w:szCs w:val="24"/>
          <w:lang w:val="bg-BG" w:eastAsia="x-none"/>
        </w:rPr>
        <w:t>.</w:t>
      </w:r>
    </w:p>
    <w:p w:rsidR="00EF5EC0" w:rsidRPr="0039075F" w:rsidRDefault="00EF5EC0" w:rsidP="00BB7906">
      <w:pPr>
        <w:widowControl/>
        <w:numPr>
          <w:ilvl w:val="0"/>
          <w:numId w:val="14"/>
        </w:numPr>
        <w:suppressAutoHyphens w:val="0"/>
        <w:autoSpaceDN w:val="0"/>
        <w:spacing w:line="276" w:lineRule="auto"/>
        <w:ind w:left="720"/>
        <w:jc w:val="both"/>
        <w:rPr>
          <w:rFonts w:cs="Times New Roman"/>
        </w:rPr>
      </w:pPr>
      <w:r w:rsidRPr="0039075F">
        <w:rPr>
          <w:sz w:val="24"/>
          <w:szCs w:val="24"/>
          <w:lang w:eastAsia="x-none"/>
        </w:rPr>
        <w:t xml:space="preserve">Tzvetkov M., Milanova M., Cherkezova-Zheleva Z., Spassova I., Valcheva E., </w:t>
      </w:r>
      <w:r w:rsidRPr="0039075F">
        <w:rPr>
          <w:b/>
          <w:sz w:val="24"/>
          <w:szCs w:val="24"/>
          <w:lang w:eastAsia="x-none"/>
        </w:rPr>
        <w:t>Zaharieva J.</w:t>
      </w:r>
      <w:r w:rsidRPr="0039075F">
        <w:rPr>
          <w:sz w:val="24"/>
          <w:szCs w:val="24"/>
          <w:lang w:eastAsia="x-none"/>
        </w:rPr>
        <w:t>, Mitov I. (2017). Mixed metal oxides of the type Co</w:t>
      </w:r>
      <w:r w:rsidRPr="0039075F">
        <w:rPr>
          <w:sz w:val="24"/>
          <w:szCs w:val="24"/>
          <w:vertAlign w:val="subscript"/>
          <w:lang w:eastAsia="x-none"/>
        </w:rPr>
        <w:t>x</w:t>
      </w:r>
      <w:r w:rsidRPr="0039075F">
        <w:rPr>
          <w:sz w:val="24"/>
          <w:szCs w:val="24"/>
          <w:lang w:eastAsia="x-none"/>
        </w:rPr>
        <w:t>Zn</w:t>
      </w:r>
      <w:r w:rsidRPr="0039075F">
        <w:rPr>
          <w:sz w:val="24"/>
          <w:szCs w:val="24"/>
          <w:vertAlign w:val="subscript"/>
          <w:lang w:eastAsia="x-none"/>
        </w:rPr>
        <w:t>1-x</w:t>
      </w:r>
      <w:r w:rsidRPr="0039075F">
        <w:rPr>
          <w:sz w:val="24"/>
          <w:szCs w:val="24"/>
          <w:lang w:eastAsia="x-none"/>
        </w:rPr>
        <w:t>Fe</w:t>
      </w:r>
      <w:r w:rsidRPr="0039075F">
        <w:rPr>
          <w:sz w:val="24"/>
          <w:szCs w:val="24"/>
          <w:vertAlign w:val="subscript"/>
          <w:lang w:eastAsia="x-none"/>
        </w:rPr>
        <w:t>2</w:t>
      </w:r>
      <w:r w:rsidRPr="0039075F">
        <w:rPr>
          <w:sz w:val="24"/>
          <w:szCs w:val="24"/>
          <w:lang w:eastAsia="x-none"/>
        </w:rPr>
        <w:t>O</w:t>
      </w:r>
      <w:r w:rsidRPr="0039075F">
        <w:rPr>
          <w:sz w:val="24"/>
          <w:szCs w:val="24"/>
          <w:vertAlign w:val="subscript"/>
          <w:lang w:eastAsia="x-none"/>
        </w:rPr>
        <w:t>4</w:t>
      </w:r>
      <w:r w:rsidRPr="0039075F">
        <w:rPr>
          <w:sz w:val="24"/>
          <w:szCs w:val="24"/>
          <w:lang w:eastAsia="x-none"/>
        </w:rPr>
        <w:t xml:space="preserve"> as photocatalysts for malachite green degradation under UV light irradiation, </w:t>
      </w:r>
      <w:r w:rsidRPr="0039075F">
        <w:rPr>
          <w:i/>
          <w:sz w:val="24"/>
          <w:szCs w:val="24"/>
          <w:lang w:eastAsia="x-none"/>
        </w:rPr>
        <w:t>Acta Chimica Si</w:t>
      </w:r>
      <w:r w:rsidRPr="0039075F">
        <w:rPr>
          <w:b/>
          <w:sz w:val="24"/>
          <w:szCs w:val="24"/>
          <w:lang w:eastAsia="x-none"/>
        </w:rPr>
        <w:t xml:space="preserve">. </w:t>
      </w:r>
      <w:r w:rsidRPr="0039075F">
        <w:rPr>
          <w:bCs/>
          <w:sz w:val="24"/>
          <w:szCs w:val="24"/>
          <w:lang w:eastAsia="bg-BG"/>
        </w:rPr>
        <w:t xml:space="preserve">DOI: </w:t>
      </w:r>
      <w:r w:rsidRPr="0039075F">
        <w:rPr>
          <w:rFonts w:eastAsia="SSTimes-Roman"/>
          <w:sz w:val="24"/>
          <w:szCs w:val="24"/>
          <w:lang w:eastAsia="bg-BG"/>
        </w:rPr>
        <w:t>10.17344/acsi.2016.3049</w:t>
      </w:r>
      <w:r w:rsidRPr="0039075F">
        <w:rPr>
          <w:rFonts w:eastAsia="SSTimes-Roman"/>
          <w:sz w:val="24"/>
          <w:szCs w:val="24"/>
          <w:lang w:val="bg-BG" w:eastAsia="bg-BG"/>
        </w:rPr>
        <w:t>.</w:t>
      </w:r>
    </w:p>
    <w:sectPr w:rsidR="00EF5EC0" w:rsidRPr="0039075F" w:rsidSect="008C59F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C1" w:rsidRDefault="008C16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16C1" w:rsidRDefault="008C16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S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0" w:rsidRDefault="00E90A00">
    <w:pPr>
      <w:pStyle w:val="Footer"/>
      <w:tabs>
        <w:tab w:val="clear" w:pos="10205"/>
        <w:tab w:val="left" w:pos="2835"/>
        <w:tab w:val="right" w:pos="10375"/>
      </w:tabs>
      <w:autoSpaceDE w:val="0"/>
      <w:rPr>
        <w:rFonts w:cs="Times New Roman"/>
      </w:rPr>
    </w:pPr>
    <w:r>
      <w:rPr>
        <w:rFonts w:ascii="ArialMT" w:eastAsia="Times New Roman" w:hAnsi="ArialMT" w:cs="Times New Roman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Times New Roman"/>
        <w:sz w:val="14"/>
        <w:szCs w:val="14"/>
      </w:rPr>
      <w:t xml:space="preserve">© European Union, 2002-2013 | http://europass.cedefop.europa.eu </w:t>
    </w:r>
    <w:r>
      <w:rPr>
        <w:rFonts w:ascii="ArialMT" w:eastAsia="Times New Roman" w:hAnsi="ArialMT" w:cs="Times New Roman"/>
        <w:sz w:val="14"/>
        <w:szCs w:val="14"/>
      </w:rPr>
      <w:tab/>
      <w:t>Page</w:t>
    </w:r>
    <w:r>
      <w:rPr>
        <w:rFonts w:ascii="ArialMT" w:eastAsia="Times New Roman" w:hAnsi="ArialMT" w:cs="Times New Roman"/>
        <w:color w:val="26B4EA"/>
        <w:sz w:val="14"/>
        <w:szCs w:val="14"/>
      </w:rPr>
      <w:t xml:space="preserve"> </w:t>
    </w:r>
    <w:r w:rsidR="00B57E7A"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</w:rPr>
      <w:instrText xml:space="preserve"> PAGE </w:instrText>
    </w:r>
    <w:r w:rsidR="00B57E7A">
      <w:rPr>
        <w:rFonts w:eastAsia="Times New Roman" w:cs="Times New Roman"/>
        <w:sz w:val="14"/>
        <w:szCs w:val="14"/>
      </w:rPr>
      <w:fldChar w:fldCharType="separate"/>
    </w:r>
    <w:r w:rsidR="0039075F">
      <w:rPr>
        <w:rFonts w:eastAsia="Times New Roman" w:cs="Times New Roman"/>
        <w:noProof/>
        <w:sz w:val="14"/>
        <w:szCs w:val="14"/>
      </w:rPr>
      <w:t>4</w:t>
    </w:r>
    <w:r w:rsidR="00B57E7A">
      <w:rPr>
        <w:rFonts w:eastAsia="Times New Roman" w:cs="Times New Roman"/>
        <w:sz w:val="14"/>
        <w:szCs w:val="14"/>
      </w:rPr>
      <w:fldChar w:fldCharType="end"/>
    </w:r>
    <w:r>
      <w:rPr>
        <w:rFonts w:ascii="ArialMT" w:eastAsia="Times New Roman" w:hAnsi="ArialMT" w:cs="Times New Roman"/>
        <w:sz w:val="14"/>
        <w:szCs w:val="14"/>
      </w:rPr>
      <w:t xml:space="preserve"> / </w:t>
    </w:r>
    <w:r w:rsidR="00B57E7A"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</w:rPr>
      <w:instrText xml:space="preserve"> NUMPAGES </w:instrText>
    </w:r>
    <w:r w:rsidR="00B57E7A">
      <w:rPr>
        <w:rFonts w:eastAsia="Times New Roman" w:cs="Times New Roman"/>
        <w:sz w:val="14"/>
        <w:szCs w:val="14"/>
      </w:rPr>
      <w:fldChar w:fldCharType="separate"/>
    </w:r>
    <w:r w:rsidR="0039075F">
      <w:rPr>
        <w:rFonts w:eastAsia="Times New Roman" w:cs="Times New Roman"/>
        <w:noProof/>
        <w:sz w:val="14"/>
        <w:szCs w:val="14"/>
      </w:rPr>
      <w:t>4</w:t>
    </w:r>
    <w:r w:rsidR="00B57E7A">
      <w:rPr>
        <w:rFonts w:eastAsia="Times New Roman" w:cs="Times New Roman"/>
        <w:sz w:val="14"/>
        <w:szCs w:val="14"/>
      </w:rPr>
      <w:fldChar w:fldCharType="end"/>
    </w:r>
    <w:r>
      <w:rPr>
        <w:rFonts w:ascii="ArialMT" w:eastAsia="Times New Roman" w:hAnsi="ArialMT" w:cs="Times New Roman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0" w:rsidRDefault="00E90A00">
    <w:pPr>
      <w:pStyle w:val="Footer"/>
      <w:tabs>
        <w:tab w:val="clear" w:pos="10205"/>
        <w:tab w:val="left" w:pos="2835"/>
        <w:tab w:val="right" w:pos="10375"/>
      </w:tabs>
      <w:autoSpaceDE w:val="0"/>
      <w:rPr>
        <w:rFonts w:cs="Times New Roman"/>
      </w:rPr>
    </w:pPr>
    <w:r>
      <w:rPr>
        <w:rFonts w:ascii="ArialMT" w:eastAsia="Times New Roman" w:hAnsi="ArialMT" w:cs="Times New Roman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Times New Roman"/>
        <w:sz w:val="14"/>
        <w:szCs w:val="14"/>
      </w:rPr>
      <w:t xml:space="preserve">© European Union, 2002-2013 | http://europass.cedefop.europa.eu </w:t>
    </w:r>
    <w:r>
      <w:rPr>
        <w:rFonts w:ascii="ArialMT" w:eastAsia="Times New Roman" w:hAnsi="ArialMT" w:cs="Times New Roman"/>
        <w:sz w:val="14"/>
        <w:szCs w:val="14"/>
      </w:rPr>
      <w:tab/>
      <w:t>Page</w:t>
    </w:r>
    <w:r>
      <w:rPr>
        <w:rFonts w:ascii="ArialMT" w:eastAsia="Times New Roman" w:hAnsi="ArialMT" w:cs="Times New Roman"/>
        <w:color w:val="26B4EA"/>
        <w:sz w:val="14"/>
        <w:szCs w:val="14"/>
      </w:rPr>
      <w:t xml:space="preserve"> </w:t>
    </w:r>
    <w:r w:rsidR="00B57E7A"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</w:rPr>
      <w:instrText xml:space="preserve"> PAGE </w:instrText>
    </w:r>
    <w:r w:rsidR="00B57E7A">
      <w:rPr>
        <w:rFonts w:eastAsia="Times New Roman" w:cs="Times New Roman"/>
        <w:sz w:val="14"/>
        <w:szCs w:val="14"/>
      </w:rPr>
      <w:fldChar w:fldCharType="separate"/>
    </w:r>
    <w:r w:rsidR="0039075F">
      <w:rPr>
        <w:rFonts w:eastAsia="Times New Roman" w:cs="Times New Roman"/>
        <w:noProof/>
        <w:sz w:val="14"/>
        <w:szCs w:val="14"/>
      </w:rPr>
      <w:t>3</w:t>
    </w:r>
    <w:r w:rsidR="00B57E7A">
      <w:rPr>
        <w:rFonts w:eastAsia="Times New Roman" w:cs="Times New Roman"/>
        <w:sz w:val="14"/>
        <w:szCs w:val="14"/>
      </w:rPr>
      <w:fldChar w:fldCharType="end"/>
    </w:r>
    <w:r>
      <w:rPr>
        <w:rFonts w:ascii="ArialMT" w:eastAsia="Times New Roman" w:hAnsi="ArialMT" w:cs="Times New Roman"/>
        <w:sz w:val="14"/>
        <w:szCs w:val="14"/>
      </w:rPr>
      <w:t xml:space="preserve"> / </w:t>
    </w:r>
    <w:r w:rsidR="00B57E7A">
      <w:rPr>
        <w:rFonts w:eastAsia="Times New Roman" w:cs="Times New Roman"/>
        <w:sz w:val="14"/>
        <w:szCs w:val="14"/>
      </w:rPr>
      <w:fldChar w:fldCharType="begin"/>
    </w:r>
    <w:r>
      <w:rPr>
        <w:rFonts w:eastAsia="Times New Roman" w:cs="Times New Roman"/>
        <w:sz w:val="14"/>
        <w:szCs w:val="14"/>
      </w:rPr>
      <w:instrText xml:space="preserve"> NUMPAGES </w:instrText>
    </w:r>
    <w:r w:rsidR="00B57E7A">
      <w:rPr>
        <w:rFonts w:eastAsia="Times New Roman" w:cs="Times New Roman"/>
        <w:sz w:val="14"/>
        <w:szCs w:val="14"/>
      </w:rPr>
      <w:fldChar w:fldCharType="separate"/>
    </w:r>
    <w:r w:rsidR="0039075F">
      <w:rPr>
        <w:rFonts w:eastAsia="Times New Roman" w:cs="Times New Roman"/>
        <w:noProof/>
        <w:sz w:val="14"/>
        <w:szCs w:val="14"/>
      </w:rPr>
      <w:t>4</w:t>
    </w:r>
    <w:r w:rsidR="00B57E7A">
      <w:rPr>
        <w:rFonts w:eastAsia="Times New Roman" w:cs="Times New Roman"/>
        <w:sz w:val="14"/>
        <w:szCs w:val="14"/>
      </w:rPr>
      <w:fldChar w:fldCharType="end"/>
    </w:r>
    <w:r>
      <w:rPr>
        <w:rFonts w:ascii="ArialMT" w:eastAsia="Times New Roman" w:hAnsi="ArialMT" w:cs="Times New Roman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C1" w:rsidRDefault="008C16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16C1" w:rsidRDefault="008C16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0" w:rsidRDefault="00216E54">
    <w:pPr>
      <w:pStyle w:val="ECVCurriculumVitaeNextPages"/>
      <w:rPr>
        <w:rFonts w:cs="Times New Roman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E90A00">
      <w:t xml:space="preserve"> </w:t>
    </w:r>
    <w:r w:rsidR="00E90A00">
      <w:tab/>
      <w:t xml:space="preserve"> Cu</w:t>
    </w:r>
    <w:r w:rsidR="0039075F">
      <w:t>rriculum Vitae</w:t>
    </w:r>
    <w:r w:rsidR="0039075F">
      <w:tab/>
      <w:t>Zaharieva, Joana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0" w:rsidRDefault="00216E54">
    <w:pPr>
      <w:pStyle w:val="ECVCurriculumVitaeNextPages"/>
    </w:pPr>
    <w:r>
      <w:rPr>
        <w:noProof/>
        <w:lang w:val="en-US" w:eastAsia="en-US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E90A00">
      <w:t xml:space="preserve"> </w:t>
    </w:r>
    <w:r w:rsidR="00E90A00">
      <w:tab/>
      <w:t xml:space="preserve"> Curriculum Vitae</w:t>
    </w:r>
    <w:r w:rsidR="00E90A00">
      <w:tab/>
      <w:t xml:space="preserve">Zaharieva, Joana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 w:cs="Symbol"/>
      </w:rPr>
    </w:lvl>
  </w:abstractNum>
  <w:abstractNum w:abstractNumId="2" w15:restartNumberingAfterBreak="0">
    <w:nsid w:val="0BF97524"/>
    <w:multiLevelType w:val="hybridMultilevel"/>
    <w:tmpl w:val="70D40626"/>
    <w:lvl w:ilvl="0" w:tplc="7056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63F84"/>
    <w:multiLevelType w:val="hybridMultilevel"/>
    <w:tmpl w:val="F280B7CA"/>
    <w:lvl w:ilvl="0" w:tplc="5F42ED08">
      <w:start w:val="1"/>
      <w:numFmt w:val="decimal"/>
      <w:lvlText w:val="%1."/>
      <w:lvlJc w:val="left"/>
      <w:pPr>
        <w:ind w:left="720" w:hanging="360"/>
      </w:pPr>
      <w:rPr>
        <w:b/>
        <w:sz w:val="2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D27"/>
    <w:multiLevelType w:val="hybridMultilevel"/>
    <w:tmpl w:val="A148EFA4"/>
    <w:lvl w:ilvl="0" w:tplc="2B583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40C14"/>
    <w:multiLevelType w:val="multilevel"/>
    <w:tmpl w:val="346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5613F"/>
    <w:multiLevelType w:val="multilevel"/>
    <w:tmpl w:val="346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A7830"/>
    <w:multiLevelType w:val="hybridMultilevel"/>
    <w:tmpl w:val="346C629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3B0C72F7"/>
    <w:multiLevelType w:val="hybridMultilevel"/>
    <w:tmpl w:val="8096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701FBE"/>
    <w:multiLevelType w:val="hybridMultilevel"/>
    <w:tmpl w:val="4BDC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92B92"/>
    <w:multiLevelType w:val="hybridMultilevel"/>
    <w:tmpl w:val="914EC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3124DA"/>
    <w:multiLevelType w:val="multilevel"/>
    <w:tmpl w:val="E60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B4FBA"/>
    <w:multiLevelType w:val="singleLevel"/>
    <w:tmpl w:val="A8E2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012170"/>
    <w:rsid w:val="00017DF4"/>
    <w:rsid w:val="00044A99"/>
    <w:rsid w:val="00047D8E"/>
    <w:rsid w:val="00090F97"/>
    <w:rsid w:val="00097F2A"/>
    <w:rsid w:val="000A17F7"/>
    <w:rsid w:val="000A21C2"/>
    <w:rsid w:val="000E51C7"/>
    <w:rsid w:val="000E76DD"/>
    <w:rsid w:val="001012B3"/>
    <w:rsid w:val="00102C9F"/>
    <w:rsid w:val="00103ACF"/>
    <w:rsid w:val="00103E9C"/>
    <w:rsid w:val="001273EB"/>
    <w:rsid w:val="00130785"/>
    <w:rsid w:val="00146F87"/>
    <w:rsid w:val="00147E0B"/>
    <w:rsid w:val="001535E2"/>
    <w:rsid w:val="00154C0B"/>
    <w:rsid w:val="0015637C"/>
    <w:rsid w:val="001A43D0"/>
    <w:rsid w:val="001A6451"/>
    <w:rsid w:val="001B0B91"/>
    <w:rsid w:val="001D1E55"/>
    <w:rsid w:val="001D288A"/>
    <w:rsid w:val="001E2EB5"/>
    <w:rsid w:val="0020764D"/>
    <w:rsid w:val="00216E54"/>
    <w:rsid w:val="00246C1D"/>
    <w:rsid w:val="00252C0F"/>
    <w:rsid w:val="00264AAF"/>
    <w:rsid w:val="002658FC"/>
    <w:rsid w:val="002879C2"/>
    <w:rsid w:val="002946C7"/>
    <w:rsid w:val="002B19F1"/>
    <w:rsid w:val="002C69E2"/>
    <w:rsid w:val="002E6F12"/>
    <w:rsid w:val="002F1509"/>
    <w:rsid w:val="00341E7C"/>
    <w:rsid w:val="003453C9"/>
    <w:rsid w:val="00353DB1"/>
    <w:rsid w:val="003656F8"/>
    <w:rsid w:val="00372715"/>
    <w:rsid w:val="00376FCE"/>
    <w:rsid w:val="00386CB1"/>
    <w:rsid w:val="0039075F"/>
    <w:rsid w:val="0039790F"/>
    <w:rsid w:val="003A05FA"/>
    <w:rsid w:val="003A2045"/>
    <w:rsid w:val="003E6289"/>
    <w:rsid w:val="00415E52"/>
    <w:rsid w:val="004239E2"/>
    <w:rsid w:val="004272ED"/>
    <w:rsid w:val="00437CE8"/>
    <w:rsid w:val="00441A3F"/>
    <w:rsid w:val="004568B3"/>
    <w:rsid w:val="00465E0F"/>
    <w:rsid w:val="004663CB"/>
    <w:rsid w:val="004856EA"/>
    <w:rsid w:val="00497C94"/>
    <w:rsid w:val="004A058C"/>
    <w:rsid w:val="004A466E"/>
    <w:rsid w:val="004B2F56"/>
    <w:rsid w:val="004B7680"/>
    <w:rsid w:val="004C13C0"/>
    <w:rsid w:val="004E2731"/>
    <w:rsid w:val="0050707C"/>
    <w:rsid w:val="00544EC2"/>
    <w:rsid w:val="0056747F"/>
    <w:rsid w:val="005A6022"/>
    <w:rsid w:val="005C3AE6"/>
    <w:rsid w:val="005E3C90"/>
    <w:rsid w:val="0060638C"/>
    <w:rsid w:val="00615E45"/>
    <w:rsid w:val="00630E05"/>
    <w:rsid w:val="00650E78"/>
    <w:rsid w:val="006642FC"/>
    <w:rsid w:val="006659DE"/>
    <w:rsid w:val="00665C54"/>
    <w:rsid w:val="00690F95"/>
    <w:rsid w:val="006C3984"/>
    <w:rsid w:val="006D10A8"/>
    <w:rsid w:val="006E5850"/>
    <w:rsid w:val="006E6F60"/>
    <w:rsid w:val="006F1F83"/>
    <w:rsid w:val="007123FF"/>
    <w:rsid w:val="00715458"/>
    <w:rsid w:val="00724C64"/>
    <w:rsid w:val="00740D2E"/>
    <w:rsid w:val="00751D17"/>
    <w:rsid w:val="00754B68"/>
    <w:rsid w:val="00783C56"/>
    <w:rsid w:val="00787CC7"/>
    <w:rsid w:val="0079767B"/>
    <w:rsid w:val="007A79C1"/>
    <w:rsid w:val="007B3FD1"/>
    <w:rsid w:val="007C6C88"/>
    <w:rsid w:val="007D403C"/>
    <w:rsid w:val="007F745B"/>
    <w:rsid w:val="00804B2D"/>
    <w:rsid w:val="00804D40"/>
    <w:rsid w:val="00804E8A"/>
    <w:rsid w:val="008125B1"/>
    <w:rsid w:val="00815B09"/>
    <w:rsid w:val="00817C35"/>
    <w:rsid w:val="00820424"/>
    <w:rsid w:val="008211CF"/>
    <w:rsid w:val="00826461"/>
    <w:rsid w:val="00845780"/>
    <w:rsid w:val="008477E2"/>
    <w:rsid w:val="00854501"/>
    <w:rsid w:val="00861B15"/>
    <w:rsid w:val="00863F1D"/>
    <w:rsid w:val="00870B45"/>
    <w:rsid w:val="0087527D"/>
    <w:rsid w:val="008C16C1"/>
    <w:rsid w:val="008C59F0"/>
    <w:rsid w:val="008F2A20"/>
    <w:rsid w:val="008F7A7B"/>
    <w:rsid w:val="00907FF3"/>
    <w:rsid w:val="00914A1D"/>
    <w:rsid w:val="00927560"/>
    <w:rsid w:val="00935175"/>
    <w:rsid w:val="0094184A"/>
    <w:rsid w:val="0094304D"/>
    <w:rsid w:val="009434BB"/>
    <w:rsid w:val="0094543E"/>
    <w:rsid w:val="00957917"/>
    <w:rsid w:val="00971ACA"/>
    <w:rsid w:val="00972BE3"/>
    <w:rsid w:val="00977384"/>
    <w:rsid w:val="00993159"/>
    <w:rsid w:val="009C5F8B"/>
    <w:rsid w:val="00A02AB3"/>
    <w:rsid w:val="00A04C37"/>
    <w:rsid w:val="00A30283"/>
    <w:rsid w:val="00A61EAE"/>
    <w:rsid w:val="00A75C47"/>
    <w:rsid w:val="00A8203B"/>
    <w:rsid w:val="00AB3F33"/>
    <w:rsid w:val="00AC766D"/>
    <w:rsid w:val="00AD7705"/>
    <w:rsid w:val="00AF3A6F"/>
    <w:rsid w:val="00B00616"/>
    <w:rsid w:val="00B00C2F"/>
    <w:rsid w:val="00B10ABC"/>
    <w:rsid w:val="00B2284F"/>
    <w:rsid w:val="00B45ADB"/>
    <w:rsid w:val="00B57E7A"/>
    <w:rsid w:val="00B60EB0"/>
    <w:rsid w:val="00B85EA2"/>
    <w:rsid w:val="00B91DE4"/>
    <w:rsid w:val="00B95505"/>
    <w:rsid w:val="00BD0183"/>
    <w:rsid w:val="00BD69EB"/>
    <w:rsid w:val="00C025F8"/>
    <w:rsid w:val="00C02A74"/>
    <w:rsid w:val="00C03ECC"/>
    <w:rsid w:val="00C27BED"/>
    <w:rsid w:val="00C27F0E"/>
    <w:rsid w:val="00C45375"/>
    <w:rsid w:val="00C5251C"/>
    <w:rsid w:val="00CB6472"/>
    <w:rsid w:val="00CB7246"/>
    <w:rsid w:val="00D16937"/>
    <w:rsid w:val="00D16C65"/>
    <w:rsid w:val="00D23377"/>
    <w:rsid w:val="00D500DE"/>
    <w:rsid w:val="00D542E5"/>
    <w:rsid w:val="00D6340E"/>
    <w:rsid w:val="00D92151"/>
    <w:rsid w:val="00DB5F40"/>
    <w:rsid w:val="00DB7E44"/>
    <w:rsid w:val="00DC7C37"/>
    <w:rsid w:val="00DD1499"/>
    <w:rsid w:val="00DE13AE"/>
    <w:rsid w:val="00DF28E6"/>
    <w:rsid w:val="00DF34A2"/>
    <w:rsid w:val="00E0536F"/>
    <w:rsid w:val="00E05D56"/>
    <w:rsid w:val="00E112A5"/>
    <w:rsid w:val="00E13FDB"/>
    <w:rsid w:val="00E37DFD"/>
    <w:rsid w:val="00E5288F"/>
    <w:rsid w:val="00E60927"/>
    <w:rsid w:val="00E90A00"/>
    <w:rsid w:val="00EA25C5"/>
    <w:rsid w:val="00EA2D06"/>
    <w:rsid w:val="00EA5A6E"/>
    <w:rsid w:val="00EC6DA2"/>
    <w:rsid w:val="00EE7C4C"/>
    <w:rsid w:val="00EF5EC0"/>
    <w:rsid w:val="00EF75BD"/>
    <w:rsid w:val="00F06DCF"/>
    <w:rsid w:val="00F16047"/>
    <w:rsid w:val="00F17E83"/>
    <w:rsid w:val="00F206B9"/>
    <w:rsid w:val="00F35E0D"/>
    <w:rsid w:val="00F545AA"/>
    <w:rsid w:val="00F54BF1"/>
    <w:rsid w:val="00F76024"/>
    <w:rsid w:val="00F773EF"/>
    <w:rsid w:val="00F9092E"/>
    <w:rsid w:val="00F9425A"/>
    <w:rsid w:val="00FB0C1F"/>
    <w:rsid w:val="00FD0A97"/>
    <w:rsid w:val="00FD12A6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1F4E58D"/>
  <w15:docId w15:val="{D61749FE-BA0C-4249-80A4-491EEADF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F0"/>
    <w:pPr>
      <w:widowControl w:val="0"/>
      <w:suppressAutoHyphens/>
    </w:pPr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8C59F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8C59F0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013"/>
    <w:rPr>
      <w:rFonts w:ascii="Cambria" w:eastAsia="Times New Roman" w:hAnsi="Cambria" w:cs="Times New Roman"/>
      <w:b/>
      <w:bCs/>
      <w:color w:val="3F3A38"/>
      <w:spacing w:val="-6"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013"/>
    <w:rPr>
      <w:rFonts w:ascii="Cambria" w:eastAsia="Times New Roman" w:hAnsi="Cambria" w:cs="Times New Roman"/>
      <w:b/>
      <w:bCs/>
      <w:i/>
      <w:iCs/>
      <w:color w:val="3F3A38"/>
      <w:spacing w:val="-6"/>
      <w:kern w:val="1"/>
      <w:sz w:val="28"/>
      <w:szCs w:val="28"/>
      <w:lang w:val="en-GB" w:eastAsia="zh-CN"/>
    </w:rPr>
  </w:style>
  <w:style w:type="character" w:customStyle="1" w:styleId="ECVHeadingContactDetails">
    <w:name w:val="_ECV_HeadingContactDetails"/>
    <w:uiPriority w:val="99"/>
    <w:rsid w:val="008C59F0"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uiPriority w:val="99"/>
    <w:rsid w:val="008C59F0"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uiPriority w:val="99"/>
    <w:rsid w:val="008C59F0"/>
  </w:style>
  <w:style w:type="character" w:customStyle="1" w:styleId="Bullets">
    <w:name w:val="Bullets"/>
    <w:uiPriority w:val="99"/>
    <w:rsid w:val="008C59F0"/>
    <w:rPr>
      <w:rFonts w:ascii="OpenSymbol" w:eastAsia="Times New Roman" w:hAnsi="OpenSymbol" w:cs="OpenSymbol"/>
    </w:rPr>
  </w:style>
  <w:style w:type="character" w:styleId="LineNumber">
    <w:name w:val="line number"/>
    <w:basedOn w:val="DefaultParagraphFont"/>
    <w:uiPriority w:val="99"/>
    <w:rsid w:val="008C59F0"/>
  </w:style>
  <w:style w:type="character" w:styleId="Hyperlink">
    <w:name w:val="Hyperlink"/>
    <w:basedOn w:val="DefaultParagraphFont"/>
    <w:uiPriority w:val="99"/>
    <w:rsid w:val="008C59F0"/>
    <w:rPr>
      <w:color w:val="000080"/>
      <w:u w:val="single"/>
    </w:rPr>
  </w:style>
  <w:style w:type="character" w:customStyle="1" w:styleId="ECVInternetLink">
    <w:name w:val="_ECV_InternetLink"/>
    <w:uiPriority w:val="99"/>
    <w:rsid w:val="008C59F0"/>
    <w:rPr>
      <w:rFonts w:ascii="Arial" w:hAnsi="Arial" w:cs="Arial"/>
      <w:color w:val="3F3A38"/>
      <w:sz w:val="18"/>
      <w:szCs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8C59F0"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basedOn w:val="DefaultParagraphFont"/>
    <w:uiPriority w:val="99"/>
    <w:rsid w:val="008C59F0"/>
    <w:rPr>
      <w:color w:val="800000"/>
      <w:u w:val="single"/>
    </w:rPr>
  </w:style>
  <w:style w:type="paragraph" w:customStyle="1" w:styleId="Heading">
    <w:name w:val="Heading"/>
    <w:basedOn w:val="Normal"/>
    <w:next w:val="BodyText"/>
    <w:uiPriority w:val="99"/>
    <w:rsid w:val="008C59F0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59F0"/>
    <w:pPr>
      <w:spacing w:line="10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0013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styleId="List">
    <w:name w:val="List"/>
    <w:basedOn w:val="BodyText"/>
    <w:uiPriority w:val="99"/>
    <w:rsid w:val="008C59F0"/>
  </w:style>
  <w:style w:type="paragraph" w:styleId="Caption">
    <w:name w:val="caption"/>
    <w:basedOn w:val="Normal"/>
    <w:uiPriority w:val="99"/>
    <w:qFormat/>
    <w:rsid w:val="008C59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C59F0"/>
    <w:pPr>
      <w:suppressLineNumbers/>
    </w:pPr>
  </w:style>
  <w:style w:type="paragraph" w:customStyle="1" w:styleId="TableContents">
    <w:name w:val="Table Contents"/>
    <w:basedOn w:val="Normal"/>
    <w:uiPriority w:val="99"/>
    <w:rsid w:val="008C59F0"/>
    <w:pPr>
      <w:suppressLineNumbers/>
    </w:pPr>
  </w:style>
  <w:style w:type="paragraph" w:customStyle="1" w:styleId="TableHeading">
    <w:name w:val="Table Heading"/>
    <w:basedOn w:val="TableContents"/>
    <w:uiPriority w:val="99"/>
    <w:rsid w:val="008C59F0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uiPriority w:val="99"/>
    <w:rsid w:val="008C59F0"/>
    <w:pPr>
      <w:ind w:right="283"/>
      <w:jc w:val="right"/>
    </w:pPr>
    <w:rPr>
      <w:caps/>
      <w:color w:val="0E4194"/>
      <w:sz w:val="18"/>
      <w:szCs w:val="18"/>
    </w:rPr>
  </w:style>
  <w:style w:type="paragraph" w:customStyle="1" w:styleId="ECVMiddleColumn">
    <w:name w:val="_ECV_MiddleColumn"/>
    <w:basedOn w:val="TableContents"/>
    <w:uiPriority w:val="99"/>
    <w:rsid w:val="008C59F0"/>
    <w:rPr>
      <w:color w:val="404040"/>
      <w:sz w:val="20"/>
      <w:szCs w:val="20"/>
    </w:rPr>
  </w:style>
  <w:style w:type="paragraph" w:customStyle="1" w:styleId="ECVRightColumn">
    <w:name w:val="_ECV_RightColumn"/>
    <w:basedOn w:val="TableContents"/>
    <w:uiPriority w:val="99"/>
    <w:rsid w:val="008C59F0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uiPriority w:val="99"/>
    <w:rsid w:val="008C59F0"/>
    <w:pPr>
      <w:spacing w:before="0" w:line="100" w:lineRule="atLeast"/>
    </w:pPr>
    <w:rPr>
      <w:color w:val="3F3A38"/>
      <w:sz w:val="26"/>
      <w:szCs w:val="26"/>
    </w:rPr>
  </w:style>
  <w:style w:type="paragraph" w:customStyle="1" w:styleId="ECVRightHeading">
    <w:name w:val="_ECV_RightHeading"/>
    <w:basedOn w:val="ECVNameField"/>
    <w:uiPriority w:val="99"/>
    <w:rsid w:val="008C59F0"/>
    <w:pPr>
      <w:spacing w:before="62"/>
      <w:jc w:val="right"/>
    </w:pPr>
    <w:rPr>
      <w:color w:val="1593CB"/>
      <w:sz w:val="15"/>
      <w:szCs w:val="15"/>
    </w:rPr>
  </w:style>
  <w:style w:type="paragraph" w:customStyle="1" w:styleId="ECV1stPage">
    <w:name w:val="_ECV_1stPage"/>
    <w:basedOn w:val="ECVRightHeading"/>
    <w:uiPriority w:val="99"/>
    <w:rsid w:val="008C59F0"/>
    <w:pPr>
      <w:tabs>
        <w:tab w:val="left" w:pos="2835"/>
        <w:tab w:val="right" w:pos="10205"/>
      </w:tabs>
      <w:spacing w:before="215"/>
      <w:jc w:val="left"/>
    </w:pPr>
    <w:rPr>
      <w:sz w:val="20"/>
      <w:szCs w:val="20"/>
    </w:rPr>
  </w:style>
  <w:style w:type="paragraph" w:customStyle="1" w:styleId="ECVContactDetails1">
    <w:name w:val="_ECV_ContactDetails1"/>
    <w:basedOn w:val="ECVNameField"/>
    <w:uiPriority w:val="99"/>
    <w:rsid w:val="008C59F0"/>
    <w:pPr>
      <w:textAlignment w:val="center"/>
    </w:pPr>
    <w:rPr>
      <w:kern w:val="0"/>
      <w:sz w:val="18"/>
      <w:szCs w:val="18"/>
    </w:rPr>
  </w:style>
  <w:style w:type="paragraph" w:customStyle="1" w:styleId="ECVComments">
    <w:name w:val="_ECV_Comments"/>
    <w:basedOn w:val="ECVText"/>
    <w:uiPriority w:val="99"/>
    <w:rsid w:val="008C59F0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uiPriority w:val="99"/>
    <w:rsid w:val="008C59F0"/>
    <w:rPr>
      <w:color w:val="402C24"/>
      <w:sz w:val="8"/>
      <w:szCs w:val="8"/>
    </w:rPr>
  </w:style>
  <w:style w:type="paragraph" w:customStyle="1" w:styleId="ECVSectionSpacing">
    <w:name w:val="_ECV_SectionSpacing"/>
    <w:basedOn w:val="ECVRightColumn"/>
    <w:uiPriority w:val="99"/>
    <w:rsid w:val="008C59F0"/>
  </w:style>
  <w:style w:type="paragraph" w:customStyle="1" w:styleId="Table">
    <w:name w:val="Table"/>
    <w:basedOn w:val="Caption"/>
    <w:uiPriority w:val="99"/>
    <w:rsid w:val="008C59F0"/>
  </w:style>
  <w:style w:type="paragraph" w:customStyle="1" w:styleId="ECVSubSectionHeading">
    <w:name w:val="_ECV_SubSectionHeading"/>
    <w:basedOn w:val="ECVRightColumn"/>
    <w:uiPriority w:val="99"/>
    <w:rsid w:val="008C59F0"/>
    <w:pPr>
      <w:spacing w:before="0" w:line="100" w:lineRule="atLeast"/>
    </w:pPr>
    <w:rPr>
      <w:color w:val="0E4194"/>
      <w:sz w:val="22"/>
      <w:szCs w:val="22"/>
    </w:rPr>
  </w:style>
  <w:style w:type="paragraph" w:customStyle="1" w:styleId="ECVOrganisationDetails">
    <w:name w:val="_ECV_OrganisationDetails"/>
    <w:basedOn w:val="ECVRightColumn"/>
    <w:uiPriority w:val="99"/>
    <w:rsid w:val="008C59F0"/>
    <w:pPr>
      <w:autoSpaceDE w:val="0"/>
      <w:spacing w:before="57" w:after="85" w:line="100" w:lineRule="atLeast"/>
    </w:pPr>
    <w:rPr>
      <w:rFonts w:eastAsia="Times New Roman"/>
      <w:color w:val="3F3A38"/>
      <w:sz w:val="18"/>
      <w:szCs w:val="18"/>
    </w:rPr>
  </w:style>
  <w:style w:type="paragraph" w:customStyle="1" w:styleId="ECVSectionDetails">
    <w:name w:val="_ECV_SectionDetails"/>
    <w:basedOn w:val="Normal"/>
    <w:uiPriority w:val="99"/>
    <w:rsid w:val="008C59F0"/>
    <w:pPr>
      <w:suppressLineNumbers/>
      <w:autoSpaceDE w:val="0"/>
      <w:spacing w:before="28" w:line="100" w:lineRule="atLeast"/>
    </w:pPr>
    <w:rPr>
      <w:sz w:val="18"/>
      <w:szCs w:val="18"/>
    </w:rPr>
  </w:style>
  <w:style w:type="paragraph" w:customStyle="1" w:styleId="ECVSectionBullet">
    <w:name w:val="_ECV_SectionBullet"/>
    <w:basedOn w:val="ECVSectionDetails"/>
    <w:uiPriority w:val="99"/>
    <w:rsid w:val="008C59F0"/>
    <w:pPr>
      <w:spacing w:before="0"/>
    </w:pPr>
  </w:style>
  <w:style w:type="paragraph" w:customStyle="1" w:styleId="ECVHeadingBullet">
    <w:name w:val="_ECV_HeadingBullet"/>
    <w:basedOn w:val="ECVLeftHeading"/>
    <w:uiPriority w:val="99"/>
    <w:rsid w:val="008C59F0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uiPriority w:val="99"/>
    <w:rsid w:val="008C59F0"/>
    <w:pPr>
      <w:spacing w:before="0" w:line="100" w:lineRule="atLeast"/>
    </w:pPr>
  </w:style>
  <w:style w:type="paragraph" w:customStyle="1" w:styleId="CVMajor">
    <w:name w:val="CV Major"/>
    <w:basedOn w:val="Normal"/>
    <w:uiPriority w:val="99"/>
    <w:rsid w:val="008C59F0"/>
    <w:pPr>
      <w:ind w:left="113" w:right="113"/>
    </w:pPr>
    <w:rPr>
      <w:b/>
      <w:bCs/>
      <w:sz w:val="24"/>
      <w:szCs w:val="24"/>
    </w:rPr>
  </w:style>
  <w:style w:type="paragraph" w:customStyle="1" w:styleId="ECVDate">
    <w:name w:val="_ECV_Date"/>
    <w:basedOn w:val="ECVLeftHeading"/>
    <w:uiPriority w:val="99"/>
    <w:rsid w:val="008C59F0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uiPriority w:val="99"/>
    <w:rsid w:val="008C59F0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uiPriority w:val="99"/>
    <w:rsid w:val="008C59F0"/>
    <w:rPr>
      <w:color w:val="17ACE6"/>
    </w:rPr>
  </w:style>
  <w:style w:type="paragraph" w:styleId="Header">
    <w:name w:val="header"/>
    <w:basedOn w:val="Normal"/>
    <w:link w:val="HeaderChar"/>
    <w:uiPriority w:val="99"/>
    <w:rsid w:val="008C59F0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013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Attachment">
    <w:name w:val="_ECV_Attachment"/>
    <w:basedOn w:val="ECVSectionDetails"/>
    <w:uiPriority w:val="99"/>
    <w:rsid w:val="008C59F0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uiPriority w:val="99"/>
    <w:rsid w:val="008C59F0"/>
    <w:pPr>
      <w:tabs>
        <w:tab w:val="center" w:pos="2835"/>
      </w:tabs>
      <w:spacing w:line="100" w:lineRule="atLeast"/>
    </w:pPr>
    <w:rPr>
      <w:color w:val="17ACE6"/>
      <w:sz w:val="20"/>
      <w:szCs w:val="20"/>
    </w:rPr>
  </w:style>
  <w:style w:type="paragraph" w:customStyle="1" w:styleId="ECVHeaderOtherPage">
    <w:name w:val="_ECV_HeaderOtherPage"/>
    <w:basedOn w:val="ECVHeaderFirstPage"/>
    <w:uiPriority w:val="99"/>
    <w:rsid w:val="008C59F0"/>
  </w:style>
  <w:style w:type="paragraph" w:customStyle="1" w:styleId="ECVLeftDetails">
    <w:name w:val="_ECV_LeftDetails"/>
    <w:basedOn w:val="ECVLeftHeading"/>
    <w:uiPriority w:val="99"/>
    <w:rsid w:val="008C59F0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rsid w:val="008C59F0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0013"/>
    <w:rPr>
      <w:rFonts w:ascii="Arial" w:eastAsia="SimSun" w:hAnsi="Arial" w:cs="Arial"/>
      <w:color w:val="3F3A38"/>
      <w:spacing w:val="-6"/>
      <w:kern w:val="1"/>
      <w:sz w:val="16"/>
      <w:szCs w:val="16"/>
      <w:lang w:val="en-GB" w:eastAsia="zh-CN"/>
    </w:rPr>
  </w:style>
  <w:style w:type="paragraph" w:customStyle="1" w:styleId="ECVLanguageHeading">
    <w:name w:val="_ECV_LanguageHeading"/>
    <w:basedOn w:val="ECVRightColumn"/>
    <w:uiPriority w:val="99"/>
    <w:rsid w:val="008C59F0"/>
    <w:pPr>
      <w:spacing w:before="0"/>
      <w:jc w:val="center"/>
    </w:pPr>
    <w:rPr>
      <w:caps/>
      <w:color w:val="0E4194"/>
      <w:sz w:val="14"/>
      <w:szCs w:val="14"/>
    </w:rPr>
  </w:style>
  <w:style w:type="paragraph" w:customStyle="1" w:styleId="ECVLanguageSubHeading">
    <w:name w:val="_ECV_LanguageSubHeading"/>
    <w:basedOn w:val="ECVLanguageHeading"/>
    <w:uiPriority w:val="99"/>
    <w:rsid w:val="008C59F0"/>
    <w:pPr>
      <w:spacing w:line="100" w:lineRule="atLeast"/>
    </w:pPr>
    <w:rPr>
      <w:caps w:val="0"/>
      <w:sz w:val="16"/>
      <w:szCs w:val="16"/>
    </w:rPr>
  </w:style>
  <w:style w:type="paragraph" w:customStyle="1" w:styleId="ECVLanguageLevel">
    <w:name w:val="_ECV_LanguageLevel"/>
    <w:basedOn w:val="ECVSectionDetails"/>
    <w:uiPriority w:val="99"/>
    <w:rsid w:val="008C59F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8C59F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uiPriority w:val="99"/>
    <w:rsid w:val="008C59F0"/>
    <w:pPr>
      <w:autoSpaceDE w:val="0"/>
      <w:spacing w:line="100" w:lineRule="atLeast"/>
    </w:pPr>
    <w:rPr>
      <w:color w:val="0E4194"/>
      <w:sz w:val="15"/>
      <w:szCs w:val="15"/>
    </w:rPr>
  </w:style>
  <w:style w:type="paragraph" w:customStyle="1" w:styleId="ECVLinks">
    <w:name w:val="_ECV_Links"/>
    <w:basedOn w:val="ECVContactDetails1"/>
    <w:uiPriority w:val="99"/>
    <w:rsid w:val="008C59F0"/>
    <w:rPr>
      <w:u w:val="single"/>
    </w:rPr>
  </w:style>
  <w:style w:type="paragraph" w:customStyle="1" w:styleId="ECVText">
    <w:name w:val="_ECV_Text"/>
    <w:basedOn w:val="BodyText"/>
    <w:uiPriority w:val="99"/>
    <w:rsid w:val="008C59F0"/>
  </w:style>
  <w:style w:type="paragraph" w:customStyle="1" w:styleId="ECVBusinessSector">
    <w:name w:val="_ECV_BusinessSector"/>
    <w:basedOn w:val="ECVOrganisationDetails"/>
    <w:uiPriority w:val="99"/>
    <w:rsid w:val="008C59F0"/>
    <w:pPr>
      <w:spacing w:before="113" w:after="0"/>
    </w:pPr>
  </w:style>
  <w:style w:type="paragraph" w:customStyle="1" w:styleId="ECVLanguageName">
    <w:name w:val="_ECV_LanguageName"/>
    <w:basedOn w:val="ECVLanguageCertificate"/>
    <w:uiPriority w:val="99"/>
    <w:rsid w:val="008C59F0"/>
    <w:pPr>
      <w:jc w:val="right"/>
    </w:pPr>
    <w:rPr>
      <w:sz w:val="18"/>
      <w:szCs w:val="18"/>
    </w:rPr>
  </w:style>
  <w:style w:type="paragraph" w:customStyle="1" w:styleId="ECVPersonalInfoHeading">
    <w:name w:val="_ECV_PersonalInfoHeading"/>
    <w:basedOn w:val="ECVLeftHeading"/>
    <w:uiPriority w:val="99"/>
    <w:rsid w:val="008C59F0"/>
    <w:pPr>
      <w:spacing w:before="57"/>
    </w:pPr>
  </w:style>
  <w:style w:type="paragraph" w:customStyle="1" w:styleId="ECVOccupationalFieldHeading">
    <w:name w:val="_ECV_OccupationalFieldHeading"/>
    <w:basedOn w:val="ECVLeftHeading"/>
    <w:uiPriority w:val="99"/>
    <w:rsid w:val="008C59F0"/>
    <w:pPr>
      <w:spacing w:before="57"/>
    </w:pPr>
  </w:style>
  <w:style w:type="paragraph" w:customStyle="1" w:styleId="ECVGenderRow">
    <w:name w:val="_ECV_GenderRow"/>
    <w:basedOn w:val="Normal"/>
    <w:uiPriority w:val="99"/>
    <w:rsid w:val="008C59F0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uiPriority w:val="99"/>
    <w:rsid w:val="008C59F0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uiPriority w:val="99"/>
    <w:rsid w:val="008C59F0"/>
  </w:style>
  <w:style w:type="paragraph" w:customStyle="1" w:styleId="ECVBusinessSectorRow">
    <w:name w:val="_ECV_BusinessSectorRow"/>
    <w:basedOn w:val="Normal"/>
    <w:uiPriority w:val="99"/>
    <w:rsid w:val="008C59F0"/>
  </w:style>
  <w:style w:type="paragraph" w:customStyle="1" w:styleId="ECVBlueBox">
    <w:name w:val="_ECV_BlueBox"/>
    <w:basedOn w:val="ECVNarrowSpacing"/>
    <w:uiPriority w:val="99"/>
    <w:rsid w:val="008C59F0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uiPriority w:val="99"/>
    <w:rsid w:val="008C59F0"/>
  </w:style>
  <w:style w:type="paragraph" w:customStyle="1" w:styleId="ESPText">
    <w:name w:val="_ESP_Text"/>
    <w:basedOn w:val="ECVText"/>
    <w:uiPriority w:val="99"/>
    <w:rsid w:val="008C59F0"/>
  </w:style>
  <w:style w:type="paragraph" w:customStyle="1" w:styleId="ESPHeading">
    <w:name w:val="_ESP_Heading"/>
    <w:basedOn w:val="ESPText"/>
    <w:uiPriority w:val="99"/>
    <w:rsid w:val="008C59F0"/>
    <w:rPr>
      <w:b/>
      <w:bCs/>
      <w:sz w:val="32"/>
      <w:szCs w:val="32"/>
    </w:rPr>
  </w:style>
  <w:style w:type="paragraph" w:customStyle="1" w:styleId="Footerleft">
    <w:name w:val="Footer left"/>
    <w:basedOn w:val="Normal"/>
    <w:uiPriority w:val="99"/>
    <w:rsid w:val="008C59F0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uiPriority w:val="99"/>
    <w:rsid w:val="008C59F0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uiPriority w:val="99"/>
    <w:rsid w:val="008C59F0"/>
  </w:style>
  <w:style w:type="character" w:styleId="Emphasis">
    <w:name w:val="Emphasis"/>
    <w:basedOn w:val="DefaultParagraphFont"/>
    <w:uiPriority w:val="20"/>
    <w:qFormat/>
    <w:rsid w:val="00017DF4"/>
    <w:rPr>
      <w:i/>
      <w:iCs/>
    </w:rPr>
  </w:style>
  <w:style w:type="character" w:customStyle="1" w:styleId="hit">
    <w:name w:val="hit"/>
    <w:basedOn w:val="DefaultParagraphFont"/>
    <w:rsid w:val="00376FCE"/>
  </w:style>
  <w:style w:type="character" w:styleId="Strong">
    <w:name w:val="Strong"/>
    <w:basedOn w:val="DefaultParagraphFont"/>
    <w:uiPriority w:val="22"/>
    <w:qFormat/>
    <w:rsid w:val="00630E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A99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99"/>
    <w:rPr>
      <w:rFonts w:ascii="Tahoma" w:eastAsia="SimSun" w:hAnsi="Tahoma" w:cs="Tahoma"/>
      <w:color w:val="3F3A38"/>
      <w:spacing w:val="-6"/>
      <w:kern w:val="1"/>
      <w:sz w:val="16"/>
      <w:szCs w:val="16"/>
      <w:lang w:val="en-GB" w:eastAsia="zh-CN"/>
    </w:rPr>
  </w:style>
  <w:style w:type="character" w:customStyle="1" w:styleId="st">
    <w:name w:val="st"/>
    <w:basedOn w:val="DefaultParagraphFont"/>
    <w:rsid w:val="00F9092E"/>
  </w:style>
  <w:style w:type="paragraph" w:styleId="Title">
    <w:name w:val="Title"/>
    <w:basedOn w:val="Normal"/>
    <w:link w:val="TitleChar"/>
    <w:qFormat/>
    <w:rsid w:val="00EF5EC0"/>
    <w:pPr>
      <w:widowControl/>
      <w:suppressAutoHyphens w:val="0"/>
      <w:jc w:val="center"/>
    </w:pPr>
    <w:rPr>
      <w:rFonts w:ascii="Dutch" w:eastAsia="Times New Roman" w:hAnsi="Dutch" w:cs="Times New Roman"/>
      <w:color w:val="auto"/>
      <w:spacing w:val="0"/>
      <w:kern w:val="0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F5EC0"/>
    <w:rPr>
      <w:rFonts w:ascii="Dutch" w:hAnsi="Dutch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EF5EC0"/>
    <w:pPr>
      <w:widowControl/>
      <w:suppressAutoHyphens w:val="0"/>
      <w:ind w:left="720"/>
      <w:contextualSpacing/>
    </w:pPr>
    <w:rPr>
      <w:rFonts w:ascii="TmsCyr" w:eastAsia="Times New Roman" w:hAnsi="TmsCyr" w:cs="Times New Roman"/>
      <w:color w:val="auto"/>
      <w:spacing w:val="0"/>
      <w:kern w:val="0"/>
      <w:sz w:val="24"/>
      <w:szCs w:val="20"/>
      <w:lang w:val="en-US" w:eastAsia="en-US"/>
    </w:rPr>
  </w:style>
  <w:style w:type="character" w:customStyle="1" w:styleId="AuthorsChar">
    <w:name w:val="Authors Char"/>
    <w:basedOn w:val="DefaultParagraphFont"/>
    <w:link w:val="Authors"/>
    <w:locked/>
    <w:rsid w:val="00EF5EC0"/>
    <w:rPr>
      <w:sz w:val="24"/>
      <w:szCs w:val="24"/>
      <w:lang w:val="en-GB"/>
    </w:rPr>
  </w:style>
  <w:style w:type="paragraph" w:customStyle="1" w:styleId="Authors">
    <w:name w:val="Authors"/>
    <w:basedOn w:val="Normal"/>
    <w:link w:val="AuthorsChar"/>
    <w:rsid w:val="00EF5EC0"/>
    <w:pPr>
      <w:widowControl/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en-US"/>
    </w:rPr>
  </w:style>
  <w:style w:type="paragraph" w:customStyle="1" w:styleId="Aaoeeu">
    <w:name w:val="Aaoeeu"/>
    <w:uiPriority w:val="99"/>
    <w:rsid w:val="00EF5EC0"/>
    <w:pPr>
      <w:widowControl w:val="0"/>
    </w:pPr>
    <w:rPr>
      <w:rFonts w:ascii="TmsCyr" w:hAnsi="TmsCyr" w:cs="TmsCyr"/>
    </w:rPr>
  </w:style>
  <w:style w:type="character" w:customStyle="1" w:styleId="txtboldonly">
    <w:name w:val="txtboldonly"/>
    <w:basedOn w:val="DefaultParagraphFont"/>
    <w:rsid w:val="00EF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Ivelina Zaharieva</dc:creator>
  <cp:keywords>Europass, CV, Cedefop</cp:keywords>
  <dc:description>Europass CV</dc:description>
  <cp:lastModifiedBy>Library</cp:lastModifiedBy>
  <cp:revision>2</cp:revision>
  <dcterms:created xsi:type="dcterms:W3CDTF">2018-05-22T06:03:00Z</dcterms:created>
  <dcterms:modified xsi:type="dcterms:W3CDTF">2018-05-22T06:03:00Z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