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Условия за кандидатстване и оценяване на постъпилите предложения в</w:t>
      </w:r>
    </w:p>
    <w:p>
      <w:pPr>
        <w:pStyle w:val="Normal1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1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КОНКУРС ЗА ФИНАНСИРАНЕ НА СТУДЕНТСКИ ДИПЛОМНИ РАБОТИ</w:t>
      </w:r>
    </w:p>
    <w:p>
      <w:pPr>
        <w:pStyle w:val="Normal1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1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в областта на климатичните промени и техния ефект върху биологичното разнообразие и човечеството</w:t>
      </w:r>
    </w:p>
    <w:p>
      <w:pPr>
        <w:pStyle w:val="Normal1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1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1"/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Конкурсът е отворен за всички специалности от сферата на биологичните науки, през комуникация, социални дейности, политическите науки и икономиката.</w:t>
      </w:r>
    </w:p>
    <w:p>
      <w:pPr>
        <w:pStyle w:val="Normal1"/>
        <w:ind w:hanging="2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1"/>
        <w:numPr>
          <w:ilvl w:val="0"/>
          <w:numId w:val="4"/>
        </w:numPr>
        <w:tabs>
          <w:tab w:val="clear" w:pos="720"/>
          <w:tab w:val="left" w:pos="360" w:leader="none"/>
        </w:tabs>
        <w:spacing w:lineRule="auto" w:line="240" w:before="0" w:after="120"/>
        <w:ind w:left="357" w:hanging="357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Кой може да кандидатства?</w:t>
      </w:r>
    </w:p>
    <w:p>
      <w:pPr>
        <w:pStyle w:val="Normal1"/>
        <w:ind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Студенти </w:t>
      </w:r>
      <w:r>
        <w:rPr>
          <w:rFonts w:eastAsia="Calibri" w:cs="Calibri" w:ascii="Calibri" w:hAnsi="Calibri"/>
          <w:color w:val="000000"/>
          <w:sz w:val="22"/>
          <w:szCs w:val="22"/>
        </w:rPr>
        <w:t>от всички български Висши учебни заведения, както и български студенти, които учат в чужбина, чиято дипломна работа попада в тематиката на конкурса и е свързана с България. Дипломните работи следва да имат ясен фокус към изследване на климатичните промени, в едно от трите направления:</w:t>
      </w:r>
    </w:p>
    <w:p>
      <w:pPr>
        <w:pStyle w:val="Normal1"/>
        <w:ind w:hanging="2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- климатични промени и въздействие върху биоразнообразието и природните ресурси, вкл. изследване на ефектите върху конкретни видове, организмови групи, екосистеми или местообитания на видове и екосистемните услуги</w:t>
      </w:r>
    </w:p>
    <w:p>
      <w:pPr>
        <w:pStyle w:val="Normal1"/>
        <w:ind w:hanging="2"/>
        <w:rPr>
          <w:rFonts w:ascii="Calibri" w:hAnsi="Calibri" w:eastAsia="Calibri" w:cs="Calibri"/>
          <w:color w:val="464646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- възможности за намаляване на ефектите от климатичните промени или приспособяването към тях, чрез решения, базирани на природата (nature based solutions),  зелени иновации, въвеждане и/или прилагане на</w:t>
      </w:r>
      <w:r>
        <w:rPr>
          <w:rFonts w:eastAsia="Calibri" w:cs="Calibri" w:ascii="Calibri" w:hAnsi="Calibri"/>
          <w:color w:val="464646"/>
          <w:sz w:val="22"/>
          <w:szCs w:val="22"/>
        </w:rPr>
        <w:t xml:space="preserve"> политики за опазване на биоразнообразието и природните ресурси или повишаване на обществената информираност;</w:t>
        <w:br/>
        <w:t>- взаимовръзката между климатичните промени и социалната справедливост, или как промяната в природните ресурси и в богатството на биоразнообразие се отразява върху живота на хората и икономиката.</w:t>
      </w:r>
    </w:p>
    <w:p>
      <w:pPr>
        <w:pStyle w:val="Normal1"/>
        <w:ind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1"/>
        <w:tabs>
          <w:tab w:val="clear" w:pos="720"/>
          <w:tab w:val="left" w:pos="426" w:leader="none"/>
        </w:tabs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Могат да кандидатстват за финансиране и докторанти, които вече са в процес на разработване и финализиране на дипломната си работа, а не само такива, които сега стартират.</w:t>
      </w:r>
    </w:p>
    <w:p>
      <w:pPr>
        <w:pStyle w:val="Normal1"/>
        <w:tabs>
          <w:tab w:val="clear" w:pos="720"/>
          <w:tab w:val="left" w:pos="426" w:leader="none"/>
        </w:tabs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1"/>
        <w:tabs>
          <w:tab w:val="clear" w:pos="720"/>
          <w:tab w:val="left" w:pos="360" w:leader="none"/>
        </w:tabs>
        <w:spacing w:lineRule="auto" w:line="240" w:before="0" w:after="12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2. Критерии за допустимост</w:t>
      </w:r>
    </w:p>
    <w:p>
      <w:pPr>
        <w:pStyle w:val="Normal1"/>
        <w:numPr>
          <w:ilvl w:val="0"/>
          <w:numId w:val="3"/>
        </w:numPr>
        <w:spacing w:lineRule="auto" w:line="240" w:before="0" w:after="80"/>
        <w:ind w:left="714" w:hanging="357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Съответствие с тематиката на конкурса (посочена в т. 1) </w:t>
      </w:r>
    </w:p>
    <w:p>
      <w:pPr>
        <w:pStyle w:val="Normal1"/>
        <w:numPr>
          <w:ilvl w:val="0"/>
          <w:numId w:val="3"/>
        </w:numPr>
        <w:spacing w:lineRule="auto" w:line="240" w:before="0" w:after="80"/>
        <w:ind w:left="714" w:hanging="357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Кандидатът е студент в българско висше училище в последна година на своето обучение (бакалавър, магистър) или докторант</w:t>
      </w:r>
    </w:p>
    <w:p>
      <w:pPr>
        <w:pStyle w:val="Normal1"/>
        <w:numPr>
          <w:ilvl w:val="0"/>
          <w:numId w:val="3"/>
        </w:numPr>
        <w:spacing w:lineRule="auto" w:line="240" w:before="0" w:after="80"/>
        <w:ind w:left="714" w:hanging="357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Български студенти, които учат в чужбина, чиято дипломна работа попада в тематиката на конкурса и е свързана с България</w:t>
      </w:r>
    </w:p>
    <w:p>
      <w:pPr>
        <w:pStyle w:val="Normal1"/>
        <w:numPr>
          <w:ilvl w:val="0"/>
          <w:numId w:val="3"/>
        </w:numPr>
        <w:spacing w:lineRule="auto" w:line="240" w:before="0" w:after="80"/>
        <w:ind w:left="714" w:hanging="357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получаване на предложението за финансиране в срок до </w:t>
      </w:r>
      <w:r>
        <w:rPr>
          <w:rFonts w:eastAsia="Calibri" w:cs="Calibri" w:ascii="Calibri" w:hAnsi="Calibri"/>
          <w:b/>
          <w:sz w:val="22"/>
          <w:szCs w:val="22"/>
        </w:rPr>
        <w:t>31.01.2022</w:t>
      </w:r>
    </w:p>
    <w:p>
      <w:pPr>
        <w:pStyle w:val="Normal1"/>
        <w:spacing w:lineRule="auto" w:line="240" w:before="0" w:after="80"/>
        <w:jc w:val="both"/>
        <w:rPr>
          <w:rFonts w:ascii="Calibri" w:hAnsi="Calibri" w:eastAsia="Calibri" w:cs="Calibri"/>
          <w:b/>
          <w:b/>
          <w:sz w:val="22"/>
          <w:szCs w:val="22"/>
          <w:u w:val="single"/>
        </w:rPr>
      </w:pPr>
      <w:r>
        <w:rPr>
          <w:rFonts w:eastAsia="Calibri" w:cs="Calibri" w:ascii="Calibri" w:hAnsi="Calibri"/>
          <w:b/>
          <w:sz w:val="22"/>
          <w:szCs w:val="22"/>
          <w:u w:val="single"/>
        </w:rPr>
      </w:r>
    </w:p>
    <w:p>
      <w:pPr>
        <w:pStyle w:val="Normal1"/>
        <w:spacing w:lineRule="auto" w:line="240" w:before="0" w:after="8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  <w:u w:val="single"/>
        </w:rPr>
        <w:t>Необходимо е всички формуляри за конкурса да са изпратени лично от студента и кореспонденцията да се води на негов личен адрес.</w:t>
      </w:r>
      <w:r>
        <w:rPr>
          <w:rFonts w:eastAsia="Calibri" w:cs="Calibri" w:ascii="Calibri" w:hAnsi="Calibri"/>
          <w:sz w:val="22"/>
          <w:szCs w:val="22"/>
        </w:rPr>
        <w:t xml:space="preserve"> Предложение, което е изпратено от e-mail адрес на научния ръководител, се счита за недопустимо.</w:t>
      </w:r>
    </w:p>
    <w:p>
      <w:pPr>
        <w:pStyle w:val="Normal1"/>
        <w:spacing w:lineRule="auto" w:line="240" w:before="0" w:after="80"/>
        <w:jc w:val="both"/>
        <w:rPr>
          <w:rFonts w:ascii="Calibri" w:hAnsi="Calibri" w:eastAsia="Calibri" w:cs="Calibri"/>
          <w:sz w:val="22"/>
          <w:szCs w:val="22"/>
          <w:shd w:fill="auto" w:val="clear"/>
        </w:rPr>
      </w:pPr>
      <w:r>
        <w:rPr>
          <w:rFonts w:eastAsia="Calibri" w:cs="Calibri" w:ascii="Calibri" w:hAnsi="Calibri"/>
          <w:sz w:val="22"/>
          <w:szCs w:val="22"/>
          <w:shd w:fill="auto" w:val="clear"/>
        </w:rPr>
      </w:r>
    </w:p>
    <w:p>
      <w:pPr>
        <w:pStyle w:val="Normal1"/>
        <w:spacing w:lineRule="auto" w:line="240" w:before="0" w:after="80"/>
        <w:jc w:val="both"/>
        <w:rPr>
          <w:rFonts w:ascii="Calibri" w:hAnsi="Calibri" w:eastAsia="Calibri" w:cs="Calibri"/>
          <w:shd w:fill="auto" w:val="clear"/>
        </w:rPr>
      </w:pPr>
      <w:r>
        <w:rPr>
          <w:rFonts w:eastAsia="Calibri" w:cs="Calibri" w:ascii="Calibri" w:hAnsi="Calibri"/>
          <w:b/>
          <w:sz w:val="22"/>
          <w:szCs w:val="22"/>
          <w:shd w:fill="auto" w:val="clear"/>
        </w:rPr>
        <w:t>2.2. Критерии за оценка</w:t>
      </w:r>
    </w:p>
    <w:p>
      <w:pPr>
        <w:pStyle w:val="Normal1"/>
        <w:numPr>
          <w:ilvl w:val="0"/>
          <w:numId w:val="3"/>
        </w:numPr>
        <w:spacing w:lineRule="auto" w:line="240" w:before="0" w:after="80"/>
        <w:ind w:left="714" w:hanging="357"/>
        <w:jc w:val="both"/>
        <w:rPr>
          <w:rFonts w:ascii="Calibri" w:hAnsi="Calibri" w:eastAsia="Calibri" w:cs="Calibri"/>
          <w:shd w:fill="auto" w:val="clear"/>
        </w:rPr>
      </w:pPr>
      <w:r>
        <w:rPr>
          <w:rFonts w:eastAsia="Calibri" w:cs="Calibri" w:ascii="Calibri" w:hAnsi="Calibri"/>
          <w:sz w:val="22"/>
          <w:szCs w:val="22"/>
          <w:shd w:fill="auto" w:val="clear"/>
        </w:rPr>
        <w:t>Ясен план и структура на съдържанието на дипломната работа – 5 т.</w:t>
      </w:r>
    </w:p>
    <w:p>
      <w:pPr>
        <w:pStyle w:val="Normal1"/>
        <w:numPr>
          <w:ilvl w:val="0"/>
          <w:numId w:val="3"/>
        </w:numPr>
        <w:spacing w:lineRule="auto" w:line="240" w:before="0" w:after="80"/>
        <w:ind w:left="714" w:hanging="357"/>
        <w:jc w:val="both"/>
        <w:rPr>
          <w:rFonts w:ascii="Calibri" w:hAnsi="Calibri" w:eastAsia="Calibri" w:cs="Calibri"/>
          <w:shd w:fill="auto" w:val="clear"/>
        </w:rPr>
      </w:pPr>
      <w:r>
        <w:rPr>
          <w:rFonts w:eastAsia="Calibri" w:cs="Calibri" w:ascii="Calibri" w:hAnsi="Calibri"/>
          <w:sz w:val="22"/>
          <w:szCs w:val="22"/>
          <w:shd w:fill="auto" w:val="clear"/>
        </w:rPr>
        <w:t>Ясен фокус на дипломната работа върху климатичните промени, практическо приложение и собствен принос на автора за устойчив начин на живот  - 18 т.</w:t>
      </w:r>
    </w:p>
    <w:p>
      <w:pPr>
        <w:pStyle w:val="Normal1"/>
        <w:numPr>
          <w:ilvl w:val="0"/>
          <w:numId w:val="3"/>
        </w:numPr>
        <w:spacing w:lineRule="auto" w:line="240" w:before="0" w:after="80"/>
        <w:ind w:left="714" w:hanging="357"/>
        <w:jc w:val="both"/>
        <w:rPr>
          <w:rFonts w:ascii="Calibri" w:hAnsi="Calibri" w:eastAsia="Calibri" w:cs="Calibri"/>
          <w:shd w:fill="auto" w:val="clear"/>
        </w:rPr>
      </w:pPr>
      <w:r>
        <w:rPr>
          <w:rFonts w:eastAsia="Calibri" w:cs="Calibri" w:ascii="Calibri" w:hAnsi="Calibri"/>
          <w:sz w:val="22"/>
          <w:szCs w:val="22"/>
          <w:shd w:fill="auto" w:val="clear"/>
        </w:rPr>
        <w:t>Анализ на средата и познаване на контекста на работа в тематичен и географски аспект – 10 т.</w:t>
      </w:r>
    </w:p>
    <w:p>
      <w:pPr>
        <w:pStyle w:val="Normal1"/>
        <w:numPr>
          <w:ilvl w:val="0"/>
          <w:numId w:val="3"/>
        </w:numPr>
        <w:spacing w:lineRule="auto" w:line="240" w:before="0" w:after="80"/>
        <w:ind w:left="714" w:hanging="357"/>
        <w:jc w:val="both"/>
        <w:rPr>
          <w:rFonts w:ascii="Calibri" w:hAnsi="Calibri" w:eastAsia="Calibri" w:cs="Calibri"/>
          <w:shd w:fill="auto" w:val="clear"/>
        </w:rPr>
      </w:pPr>
      <w:r>
        <w:rPr>
          <w:rFonts w:eastAsia="Calibri" w:cs="Calibri" w:ascii="Calibri" w:hAnsi="Calibri"/>
          <w:sz w:val="22"/>
          <w:szCs w:val="22"/>
          <w:shd w:fill="auto" w:val="clear"/>
        </w:rPr>
        <w:t>Познаване на националната и международна законодателна рамка за намаляване на климатичните промени и връзката на планираното действие в дипломната работа с ключови приоритети и цели в България, Европа и света – 10 т.</w:t>
      </w:r>
    </w:p>
    <w:p>
      <w:pPr>
        <w:pStyle w:val="Normal1"/>
        <w:numPr>
          <w:ilvl w:val="0"/>
          <w:numId w:val="3"/>
        </w:numPr>
        <w:spacing w:lineRule="auto" w:line="240" w:before="0" w:after="80"/>
        <w:ind w:left="714" w:hanging="357"/>
        <w:jc w:val="both"/>
        <w:rPr>
          <w:rFonts w:ascii="Calibri" w:hAnsi="Calibri" w:eastAsia="Calibri" w:cs="Calibri"/>
          <w:shd w:fill="auto" w:val="clear"/>
        </w:rPr>
      </w:pPr>
      <w:r>
        <w:rPr>
          <w:rFonts w:eastAsia="Calibri" w:cs="Calibri" w:ascii="Calibri" w:hAnsi="Calibri"/>
          <w:sz w:val="22"/>
          <w:szCs w:val="22"/>
          <w:shd w:fill="auto" w:val="clear"/>
        </w:rPr>
        <w:t>Ясно описание на използвани методи за проучване и методология за анализ – 15 т.</w:t>
      </w:r>
    </w:p>
    <w:p>
      <w:pPr>
        <w:pStyle w:val="Normal1"/>
        <w:numPr>
          <w:ilvl w:val="0"/>
          <w:numId w:val="3"/>
        </w:numPr>
        <w:spacing w:lineRule="auto" w:line="240" w:before="0" w:after="80"/>
        <w:ind w:left="714" w:hanging="357"/>
        <w:jc w:val="both"/>
        <w:rPr>
          <w:rFonts w:ascii="Calibri" w:hAnsi="Calibri" w:eastAsia="Calibri" w:cs="Calibri"/>
          <w:shd w:fill="auto" w:val="clear"/>
        </w:rPr>
      </w:pPr>
      <w:r>
        <w:rPr>
          <w:rFonts w:eastAsia="Calibri" w:cs="Calibri" w:ascii="Calibri" w:hAnsi="Calibri"/>
          <w:sz w:val="22"/>
          <w:szCs w:val="22"/>
          <w:shd w:fill="auto" w:val="clear"/>
        </w:rPr>
        <w:t>Обществена значимост на изследваните проблеми – 10 т.</w:t>
      </w:r>
    </w:p>
    <w:p>
      <w:pPr>
        <w:pStyle w:val="Normal1"/>
        <w:numPr>
          <w:ilvl w:val="0"/>
          <w:numId w:val="3"/>
        </w:numPr>
        <w:spacing w:lineRule="auto" w:line="240" w:before="0" w:after="80"/>
        <w:ind w:left="714" w:hanging="357"/>
        <w:jc w:val="both"/>
        <w:rPr>
          <w:rFonts w:ascii="Calibri" w:hAnsi="Calibri" w:eastAsia="Calibri" w:cs="Calibri"/>
          <w:shd w:fill="auto" w:val="clear"/>
        </w:rPr>
      </w:pPr>
      <w:r>
        <w:rPr>
          <w:rFonts w:eastAsia="Calibri" w:cs="Calibri" w:ascii="Calibri" w:hAnsi="Calibri"/>
          <w:sz w:val="22"/>
          <w:szCs w:val="22"/>
          <w:shd w:fill="auto" w:val="clear"/>
        </w:rPr>
        <w:t xml:space="preserve">Целесъобразност на предвидените бюджет и разходи за постигане на целите на дипломната работа 18 т. </w:t>
      </w:r>
    </w:p>
    <w:p>
      <w:pPr>
        <w:pStyle w:val="Normal1"/>
        <w:numPr>
          <w:ilvl w:val="0"/>
          <w:numId w:val="3"/>
        </w:numPr>
        <w:spacing w:lineRule="auto" w:line="240" w:before="0" w:after="80"/>
        <w:ind w:left="714" w:hanging="357"/>
        <w:jc w:val="both"/>
        <w:rPr>
          <w:rFonts w:ascii="Calibri" w:hAnsi="Calibri" w:eastAsia="Calibri" w:cs="Calibri"/>
          <w:shd w:fill="auto" w:val="clear"/>
        </w:rPr>
      </w:pPr>
      <w:r>
        <w:rPr>
          <w:rFonts w:eastAsia="Calibri" w:cs="Calibri" w:ascii="Calibri" w:hAnsi="Calibri"/>
          <w:sz w:val="22"/>
          <w:szCs w:val="22"/>
          <w:shd w:fill="auto" w:val="clear"/>
        </w:rPr>
        <w:t>Познаване на средата и план за управление на риска – 7 т.</w:t>
      </w:r>
    </w:p>
    <w:p>
      <w:pPr>
        <w:pStyle w:val="Normal1"/>
        <w:numPr>
          <w:ilvl w:val="0"/>
          <w:numId w:val="3"/>
        </w:numPr>
        <w:spacing w:lineRule="auto" w:line="240" w:before="0" w:after="80"/>
        <w:ind w:left="714" w:hanging="357"/>
        <w:jc w:val="both"/>
        <w:rPr>
          <w:rFonts w:ascii="Calibri" w:hAnsi="Calibri" w:eastAsia="Calibri" w:cs="Calibri"/>
          <w:shd w:fill="auto" w:val="clear"/>
        </w:rPr>
      </w:pPr>
      <w:r>
        <w:rPr>
          <w:rFonts w:eastAsia="Calibri" w:cs="Calibri" w:ascii="Calibri" w:hAnsi="Calibri"/>
          <w:sz w:val="22"/>
          <w:szCs w:val="22"/>
          <w:shd w:fill="auto" w:val="clear"/>
        </w:rPr>
        <w:t>Ясен времеви план – 7 т.</w:t>
      </w:r>
    </w:p>
    <w:p>
      <w:pPr>
        <w:pStyle w:val="Normal1"/>
        <w:spacing w:lineRule="auto" w:line="240" w:before="0" w:after="80"/>
        <w:ind w:left="1077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spacing w:lineRule="auto" w:line="240" w:before="0" w:after="80"/>
        <w:ind w:left="72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Максимален брой точки: 100 т.</w:t>
      </w:r>
    </w:p>
    <w:p>
      <w:pPr>
        <w:pStyle w:val="Normal1"/>
        <w:spacing w:lineRule="auto" w:line="240" w:before="0" w:after="80"/>
        <w:ind w:left="57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Допустимите предложенията за дипломни работи се оценяват от двама независими  оценителя от екипа на Българска фондация Биоразнообразие. Крайната оценка на полученото предложение е средноаритметично от броя точки на двамата оценителя. При разлика над 25 т. на получените оценки от индивидуалните оценители, предложението се оценява и от трети експерт, а крайната оценка се формира от средно аритметичното на двете по-близки оценки.</w:t>
      </w:r>
    </w:p>
    <w:p>
      <w:pPr>
        <w:pStyle w:val="Normal1"/>
        <w:spacing w:lineRule="auto" w:line="240" w:before="0" w:after="80"/>
        <w:ind w:left="1077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numPr>
          <w:ilvl w:val="0"/>
          <w:numId w:val="4"/>
        </w:numPr>
        <w:tabs>
          <w:tab w:val="clear" w:pos="720"/>
          <w:tab w:val="left" w:pos="360" w:leader="none"/>
        </w:tabs>
        <w:spacing w:lineRule="auto" w:line="240" w:before="0" w:after="120"/>
        <w:ind w:left="360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Размер и насоки за финансиране:</w:t>
      </w:r>
    </w:p>
    <w:p>
      <w:pPr>
        <w:pStyle w:val="Normal1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Финансирането на всяка дипломна работа е на стойност </w:t>
      </w:r>
      <w:r>
        <w:rPr>
          <w:rFonts w:eastAsia="Calibri" w:cs="Calibri" w:ascii="Calibri" w:hAnsi="Calibri"/>
          <w:b/>
          <w:sz w:val="22"/>
          <w:szCs w:val="22"/>
        </w:rPr>
        <w:t>до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b/>
          <w:sz w:val="22"/>
          <w:szCs w:val="22"/>
        </w:rPr>
        <w:t>1000</w:t>
      </w:r>
      <w:r>
        <w:rPr>
          <w:rFonts w:eastAsia="Calibri" w:cs="Calibri" w:ascii="Calibri" w:hAnsi="Calibri"/>
          <w:sz w:val="22"/>
          <w:szCs w:val="22"/>
        </w:rPr>
        <w:t xml:space="preserve"> лева.</w:t>
      </w:r>
    </w:p>
    <w:p>
      <w:pPr>
        <w:pStyle w:val="Normal1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  <w:u w:val="single"/>
        </w:rPr>
        <w:t>Приемливи разходи</w:t>
      </w:r>
      <w:r>
        <w:rPr>
          <w:rFonts w:eastAsia="Calibri" w:cs="Calibri" w:ascii="Calibri" w:hAnsi="Calibri"/>
          <w:sz w:val="22"/>
          <w:szCs w:val="22"/>
        </w:rPr>
        <w:t xml:space="preserve"> са всички разходи, директно необходими за осъществяването на дипломната разработка, включително транспортни разходи, закупуване на научна информация (литература, данни, анализи от проучвания и др.), достъп до специализирани сайтове, материали и консумативи за техника и оборудване, наем техника или лаборатория, закупуване на специализиран софтуер и др. Нуждата от закупуване и/или наем на техника следва е много добре обоснована и сумата по това перо да не надвишава 30 % от исканото финансиране.</w:t>
      </w:r>
    </w:p>
    <w:p>
      <w:pPr>
        <w:pStyle w:val="Normal1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  <w:u w:val="single"/>
        </w:rPr>
        <w:t>Неприемливи</w:t>
      </w:r>
      <w:r>
        <w:rPr>
          <w:rFonts w:eastAsia="Calibri" w:cs="Calibri" w:ascii="Calibri" w:hAnsi="Calibri"/>
          <w:sz w:val="22"/>
          <w:szCs w:val="22"/>
        </w:rPr>
        <w:t xml:space="preserve"> за финансиране са следните разходи: хонорари за дипломанта, научния ръководител и консултанти.</w:t>
      </w:r>
    </w:p>
    <w:p>
      <w:pPr>
        <w:pStyle w:val="Normal1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tabs>
          <w:tab w:val="clear" w:pos="720"/>
          <w:tab w:val="left" w:pos="360" w:leader="none"/>
        </w:tabs>
        <w:spacing w:lineRule="auto" w:line="240" w:before="0" w:after="120"/>
        <w:ind w:left="360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4. Необходими документи:</w:t>
      </w:r>
    </w:p>
    <w:p>
      <w:pPr>
        <w:pStyle w:val="Normal1"/>
        <w:tabs>
          <w:tab w:val="clear" w:pos="720"/>
          <w:tab w:val="left" w:pos="360" w:leader="none"/>
        </w:tabs>
        <w:spacing w:lineRule="auto" w:line="240" w:before="0" w:after="120"/>
        <w:ind w:left="360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За кандидатстване:</w:t>
      </w:r>
    </w:p>
    <w:p>
      <w:pPr>
        <w:pStyle w:val="Normal1"/>
        <w:numPr>
          <w:ilvl w:val="0"/>
          <w:numId w:val="1"/>
        </w:numPr>
        <w:spacing w:lineRule="auto" w:line="240" w:before="0" w:after="120"/>
        <w:ind w:left="720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  <w:u w:val="single"/>
        </w:rPr>
        <w:t>Формуляр за кандидатстване за финансиране</w:t>
      </w:r>
      <w:r>
        <w:rPr>
          <w:rFonts w:eastAsia="Calibri" w:cs="Calibri" w:ascii="Calibri" w:hAnsi="Calibri"/>
          <w:sz w:val="22"/>
          <w:szCs w:val="22"/>
        </w:rPr>
        <w:t>, съгласно приложения формуляр.</w:t>
      </w:r>
    </w:p>
    <w:p>
      <w:pPr>
        <w:pStyle w:val="Normal1"/>
        <w:spacing w:lineRule="auto" w:line="240" w:before="0" w:after="120"/>
        <w:jc w:val="both"/>
        <w:rPr>
          <w:b/>
          <w:b/>
        </w:rPr>
      </w:pPr>
      <w:r>
        <w:rPr>
          <w:rFonts w:eastAsia="Calibri" w:cs="Calibri" w:ascii="Calibri" w:hAnsi="Calibri"/>
          <w:b/>
          <w:sz w:val="22"/>
          <w:szCs w:val="22"/>
        </w:rPr>
        <w:t>За сключване на договор:</w:t>
      </w:r>
    </w:p>
    <w:p>
      <w:pPr>
        <w:pStyle w:val="Normal1"/>
        <w:numPr>
          <w:ilvl w:val="0"/>
          <w:numId w:val="1"/>
        </w:numPr>
        <w:ind w:left="720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Копие от студентска книжка, актуална за учебната 2021/2022 г.</w:t>
      </w:r>
    </w:p>
    <w:p>
      <w:pPr>
        <w:pStyle w:val="Normal1"/>
        <w:numPr>
          <w:ilvl w:val="0"/>
          <w:numId w:val="1"/>
        </w:numPr>
        <w:ind w:left="720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Уверение от университет, че студентът е записан в университета и упоменат срок на завършване, който за бакалавърска степен и магистратура следва да е в учебната 2021/2022 г.</w:t>
      </w:r>
    </w:p>
    <w:p>
      <w:pPr>
        <w:pStyle w:val="Normal1"/>
        <w:ind w:left="72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5. Изисквания за отпускане на финансирането:</w:t>
      </w:r>
    </w:p>
    <w:p>
      <w:pPr>
        <w:pStyle w:val="Normal1"/>
        <w:ind w:left="72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numPr>
          <w:ilvl w:val="0"/>
          <w:numId w:val="2"/>
        </w:numPr>
        <w:spacing w:lineRule="auto" w:line="240" w:before="0" w:after="120"/>
        <w:ind w:left="720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С одобрените кандидати се сключва Договор за финансиране.</w:t>
      </w:r>
    </w:p>
    <w:p>
      <w:pPr>
        <w:pStyle w:val="Normal1"/>
        <w:numPr>
          <w:ilvl w:val="0"/>
          <w:numId w:val="2"/>
        </w:numPr>
        <w:spacing w:lineRule="auto" w:line="240" w:before="0" w:after="120"/>
        <w:ind w:left="720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Изисква се минимум 1 научно-популярна статия за социалните мрежи, придружена със снимки/видео от работния процес на дипломанта.</w:t>
      </w:r>
    </w:p>
    <w:p>
      <w:pPr>
        <w:pStyle w:val="Normal1"/>
        <w:numPr>
          <w:ilvl w:val="0"/>
          <w:numId w:val="2"/>
        </w:numPr>
        <w:spacing w:lineRule="auto" w:line="240" w:before="0" w:after="120"/>
        <w:ind w:left="720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Одобрените за финансиране докторанти се задължават да предоставят копие от дипломната си работа в електронен вид след нейната защита (включително ако това е след срока на договора). В дипломната работа следва да е упоменато за получената подкрепа.</w:t>
      </w:r>
    </w:p>
    <w:p>
      <w:pPr>
        <w:pStyle w:val="Normal1"/>
        <w:numPr>
          <w:ilvl w:val="0"/>
          <w:numId w:val="2"/>
        </w:numPr>
        <w:spacing w:lineRule="auto" w:line="240" w:before="0" w:after="120"/>
        <w:ind w:left="720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Одобрените кандидати следва да създадат поне 3 публикации за социалните мрежи и да ги публикуват в личните си профили в социални мрежи (напр. за получената подкрепа по конкурса, при работа на терен, публикуване на изготвената научно-популярна статия), с използване на следните хаштагове: #climatechange #climategameon </w:t>
      </w:r>
    </w:p>
    <w:p>
      <w:pPr>
        <w:pStyle w:val="Normal1"/>
        <w:numPr>
          <w:ilvl w:val="0"/>
          <w:numId w:val="2"/>
        </w:numPr>
        <w:spacing w:lineRule="auto" w:line="240" w:before="0" w:after="120"/>
        <w:ind w:left="720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Одобрените дипломанти подготвят отчет за извършените дейности и постигнати резултати със срок от 20 дни след изтичане на срока по договора, който ще се сключи съобразно предварително заложения времеви план от дипломанта. </w:t>
      </w:r>
    </w:p>
    <w:p>
      <w:pPr>
        <w:pStyle w:val="Normal1"/>
        <w:spacing w:lineRule="auto" w:line="240" w:before="0" w:after="12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6. Срокове на конкурса за дипломни работи</w:t>
      </w:r>
    </w:p>
    <w:p>
      <w:pPr>
        <w:pStyle w:val="Normal1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Предложения за финансиране се приемат до  </w:t>
      </w:r>
      <w:r>
        <w:rPr>
          <w:rFonts w:eastAsia="Calibri" w:cs="Calibri" w:ascii="Calibri" w:hAnsi="Calibri"/>
          <w:b/>
          <w:sz w:val="22"/>
          <w:szCs w:val="22"/>
        </w:rPr>
        <w:t>31.01.2022 г.</w:t>
      </w:r>
      <w:r>
        <w:rPr>
          <w:rFonts w:eastAsia="Calibri" w:cs="Calibri" w:ascii="Calibri" w:hAnsi="Calibri"/>
          <w:sz w:val="22"/>
          <w:szCs w:val="22"/>
        </w:rPr>
        <w:t xml:space="preserve"> на е-mail: </w:t>
      </w:r>
      <w:hyperlink r:id="rId2">
        <w:r>
          <w:rPr>
            <w:rFonts w:eastAsia="Calibri" w:cs="Calibri" w:ascii="Calibri" w:hAnsi="Calibri"/>
            <w:color w:val="1155CC"/>
            <w:sz w:val="22"/>
            <w:szCs w:val="22"/>
            <w:u w:val="single"/>
          </w:rPr>
          <w:t>gameon@biodiversity.bg</w:t>
        </w:r>
      </w:hyperlink>
      <w:r>
        <w:rPr>
          <w:rFonts w:eastAsia="Calibri" w:cs="Calibri" w:ascii="Calibri" w:hAnsi="Calibri"/>
          <w:color w:val="464646"/>
          <w:sz w:val="22"/>
          <w:szCs w:val="22"/>
        </w:rPr>
        <w:t xml:space="preserve"> </w:t>
      </w:r>
      <w:r>
        <w:rPr>
          <w:rFonts w:eastAsia="Calibri" w:cs="Calibri" w:ascii="Calibri" w:hAnsi="Calibri"/>
          <w:b/>
          <w:sz w:val="22"/>
          <w:szCs w:val="22"/>
          <w:shd w:fill="F9FDE5" w:val="clear"/>
        </w:rPr>
        <w:t> </w:t>
      </w:r>
    </w:p>
    <w:p>
      <w:pPr>
        <w:pStyle w:val="Normal1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Решението на комисията за одобрените предложения ще бъде обявено до </w:t>
      </w:r>
      <w:r>
        <w:rPr>
          <w:rFonts w:eastAsia="Calibri" w:cs="Calibri" w:ascii="Calibri" w:hAnsi="Calibri"/>
          <w:b/>
          <w:sz w:val="22"/>
          <w:szCs w:val="22"/>
        </w:rPr>
        <w:t>14.02.2022г.</w:t>
      </w:r>
    </w:p>
    <w:p>
      <w:pPr>
        <w:pStyle w:val="Normal1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Договори за финансиране с одобрените дипломанти ще бъдат сключени до </w:t>
      </w:r>
      <w:r>
        <w:rPr>
          <w:rFonts w:eastAsia="Calibri" w:cs="Calibri" w:ascii="Calibri" w:hAnsi="Calibri"/>
          <w:b/>
          <w:sz w:val="22"/>
          <w:szCs w:val="22"/>
        </w:rPr>
        <w:t>25.02.2022 г.</w:t>
      </w:r>
    </w:p>
    <w:p>
      <w:pPr>
        <w:pStyle w:val="Normal1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Представяне на отчет за извършената работа </w:t>
      </w:r>
      <w:r>
        <w:rPr>
          <w:rFonts w:eastAsia="Calibri" w:cs="Calibri" w:ascii="Calibri" w:hAnsi="Calibri"/>
          <w:b/>
          <w:sz w:val="22"/>
          <w:szCs w:val="22"/>
        </w:rPr>
        <w:t>до 20 дни след края на срока на договора</w:t>
      </w:r>
      <w:r>
        <w:rPr>
          <w:rFonts w:eastAsia="Calibri" w:cs="Calibri" w:ascii="Calibri" w:hAnsi="Calibri"/>
          <w:sz w:val="22"/>
          <w:szCs w:val="22"/>
        </w:rPr>
        <w:t xml:space="preserve"> (в зависимост от конкретния времеви график на дипломната работа), но </w:t>
      </w:r>
      <w:r>
        <w:rPr>
          <w:rFonts w:eastAsia="Calibri" w:cs="Calibri" w:ascii="Calibri" w:hAnsi="Calibri"/>
          <w:b/>
          <w:sz w:val="22"/>
          <w:szCs w:val="22"/>
        </w:rPr>
        <w:t xml:space="preserve">най-късно до 31.10.2022 г. </w:t>
      </w:r>
      <w:r>
        <w:rPr>
          <w:rFonts w:eastAsia="Calibri" w:cs="Calibri" w:ascii="Calibri" w:hAnsi="Calibri"/>
          <w:sz w:val="22"/>
          <w:szCs w:val="22"/>
        </w:rPr>
        <w:t>.</w:t>
      </w:r>
    </w:p>
    <w:p>
      <w:pPr>
        <w:pStyle w:val="Normal1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Максималната продължителност на договорите за спонсорството и подкрепа на дипломни работи/дисертации ще бъде осем месеца (до 31.10.202</w:t>
      </w:r>
      <w:r>
        <w:rPr>
          <w:rFonts w:eastAsia="Calibri" w:cs="Calibri" w:ascii="Calibri" w:hAnsi="Calibri"/>
          <w:b/>
          <w:sz w:val="22"/>
          <w:szCs w:val="22"/>
        </w:rPr>
        <w:t>2</w:t>
      </w:r>
      <w:r>
        <w:rPr>
          <w:rFonts w:eastAsia="Calibri" w:cs="Calibri" w:ascii="Calibri" w:hAnsi="Calibri"/>
          <w:b/>
          <w:sz w:val="22"/>
          <w:szCs w:val="22"/>
        </w:rPr>
        <w:t xml:space="preserve"> г), а най-ранния период за стартиране на работата, е 1 март 2022 г.</w:t>
      </w:r>
    </w:p>
    <w:p>
      <w:pPr>
        <w:pStyle w:val="Normal1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1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7. Допълнителни условия (лични данни)</w:t>
      </w:r>
    </w:p>
    <w:p>
      <w:pPr>
        <w:pStyle w:val="Normal1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С изпращане на формуляра за кандидатстване и съпътстващите документи се съгласявате да получим и обработим данните ви за целите на конкурса.</w:t>
      </w:r>
    </w:p>
    <w:p>
      <w:pPr>
        <w:pStyle w:val="Normal1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При получаване на финансова награда, се съгласявате ваши снимки и информация от отчетите да бъде използвана за нуждите на популяризиране и отчитане на проекта, резултатите от конкурса и работата на Българска фондация Биоразнообразие.</w:t>
      </w:r>
    </w:p>
    <w:p>
      <w:pPr>
        <w:pStyle w:val="Normal1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8. Организатор на конкурса</w:t>
      </w:r>
    </w:p>
    <w:p>
      <w:pPr>
        <w:pStyle w:val="Normal1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1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Конкурсът за дипломни работи се </w:t>
      </w:r>
      <w:r>
        <w:rPr>
          <w:rFonts w:eastAsia="Calibri" w:cs="Calibri" w:ascii="Calibri" w:hAnsi="Calibri"/>
          <w:sz w:val="22"/>
          <w:szCs w:val="22"/>
        </w:rPr>
        <w:t>организира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от </w:t>
      </w:r>
      <w:r>
        <w:rPr>
          <w:rFonts w:eastAsia="Calibri" w:cs="Calibri" w:ascii="Calibri" w:hAnsi="Calibri"/>
          <w:b/>
          <w:color w:val="000000"/>
          <w:sz w:val="22"/>
          <w:szCs w:val="22"/>
        </w:rPr>
        <w:t>Българска фондация Биоразнообразие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по Проект “Game On | Do not let the climate change end the game“, чрез съфинансиране  от програма DEAR (Development Education Awareness Raising) на Европейската комисия </w:t>
      </w:r>
    </w:p>
    <w:p>
      <w:pPr>
        <w:pStyle w:val="Normal1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За въпроси: Йорданка Славова, тел. 0896798902 </w:t>
      </w:r>
      <w:hyperlink r:id="rId3">
        <w:r>
          <w:rPr>
            <w:rFonts w:eastAsia="Calibri" w:cs="Calibri" w:ascii="Calibri" w:hAnsi="Calibri"/>
            <w:color w:val="1155CC"/>
            <w:sz w:val="22"/>
            <w:szCs w:val="22"/>
            <w:u w:val="single"/>
          </w:rPr>
          <w:t>gameon@biodiversity.bg</w:t>
        </w:r>
      </w:hyperlink>
      <w:r>
        <w:rPr>
          <w:rFonts w:eastAsia="Calibri" w:cs="Calibri" w:ascii="Calibri" w:hAnsi="Calibri"/>
          <w:color w:val="464646"/>
          <w:sz w:val="22"/>
          <w:szCs w:val="22"/>
        </w:rPr>
        <w:t xml:space="preserve"> </w:t>
      </w:r>
    </w:p>
    <w:sectPr>
      <w:headerReference w:type="default" r:id="rId4"/>
      <w:footerReference w:type="default" r:id="rId5"/>
      <w:type w:val="nextPage"/>
      <w:pgSz w:w="12240" w:h="15840"/>
      <w:pgMar w:left="1134" w:right="1041" w:header="113" w:top="1417" w:footer="283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Montserrat">
    <w:charset w:val="00"/>
    <w:family w:val="roman"/>
    <w:pitch w:val="variable"/>
  </w:font>
  <w:font w:name="Noto Sans Symbols">
    <w:charset w:val="01"/>
    <w:family w:val="auto"/>
    <w:pitch w:val="default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703" w:leader="none"/>
        <w:tab w:val="right" w:pos="9406" w:leader="none"/>
      </w:tabs>
      <w:spacing w:lineRule="auto" w:line="276" w:before="0" w:after="0"/>
      <w:ind w:left="1871" w:right="0" w:hanging="0"/>
      <w:jc w:val="left"/>
      <w:rPr>
        <w:rFonts w:ascii="Montserrat" w:hAnsi="Montserrat" w:eastAsia="Montserrat" w:cs="Montserrat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8"/>
        <w:szCs w:val="18"/>
        <w:u w:val="none"/>
        <w:shd w:fill="auto" w:val="clear"/>
        <w:vertAlign w:val="baseline"/>
      </w:rPr>
    </w:pPr>
    <w:r>
      <w:rPr>
        <w:rFonts w:eastAsia="Montserrat" w:cs="Montserrat" w:ascii="Montserrat" w:hAnsi="Montserrat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Проект "</w:t>
    </w:r>
    <w:hyperlink r:id="rId1">
      <w:r>
        <w:rPr>
          <w:rFonts w:eastAsia="Montserrat" w:cs="Montserrat"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563C1"/>
          <w:position w:val="0"/>
          <w:sz w:val="18"/>
          <w:sz w:val="18"/>
          <w:szCs w:val="18"/>
          <w:u w:val="single"/>
          <w:shd w:fill="auto" w:val="clear"/>
          <w:vertAlign w:val="baseline"/>
        </w:rPr>
        <w:t>Game over? Do not climate change end the game</w:t>
      </w:r>
    </w:hyperlink>
    <w:r>
      <w:rPr>
        <w:rFonts w:eastAsia="Montserrat" w:cs="Montserrat" w:ascii="Montserrat" w:hAnsi="Montserrat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" се </w:t>
    </w:r>
    <w:r>
      <w:rPr>
        <w:rFonts w:eastAsia="Montserrat" w:cs="Montserrat" w:ascii="Montserrat" w:hAnsi="Montserrat"/>
        <w:sz w:val="18"/>
        <w:szCs w:val="18"/>
      </w:rPr>
      <w:t>реализира</w:t>
    </w:r>
    <w:r>
      <w:rPr>
        <w:rFonts w:eastAsia="Montserrat" w:cs="Montserrat" w:ascii="Montserrat" w:hAnsi="Montserrat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с финансовата подкрепа на програма DEAR на Европейската комисия. Дейностите в България се изпълняват от </w:t>
    </w:r>
    <w:hyperlink r:id="rId2">
      <w:r>
        <w:rPr>
          <w:rFonts w:eastAsia="Montserrat" w:cs="Montserrat"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563C1"/>
          <w:position w:val="0"/>
          <w:sz w:val="18"/>
          <w:sz w:val="18"/>
          <w:szCs w:val="18"/>
          <w:u w:val="single"/>
          <w:shd w:fill="auto" w:val="clear"/>
          <w:vertAlign w:val="baseline"/>
        </w:rPr>
        <w:t>Българска фондация Биоразнообразие</w:t>
      </w:r>
      <w:r>
        <w:rPr>
          <w:rFonts w:eastAsia="Montserrat" w:cs="Montserrat"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-635</wp:posOffset>
            </wp:positionH>
            <wp:positionV relativeFrom="paragraph">
              <wp:posOffset>46355</wp:posOffset>
            </wp:positionV>
            <wp:extent cx="998220" cy="665480"/>
            <wp:effectExtent l="0" t="0" r="0" b="0"/>
            <wp:wrapNone/>
            <wp:docPr id="5" name="image1.jpg" descr="C:\Users\Aleksandar\Desktop\Bioraz\Blanka\flag_yellow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g" descr="C:\Users\Aleksandar\Desktop\Bioraz\Blanka\flag_yellow_high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hyperlink>
    <w:r>
      <w:rPr>
        <w:rFonts w:eastAsia="Montserrat" w:cs="Montserrat" w:ascii="Montserrat" w:hAnsi="Montserrat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.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703" w:leader="none"/>
        <w:tab w:val="right" w:pos="9406" w:leader="none"/>
      </w:tabs>
      <w:spacing w:lineRule="auto" w:line="276" w:before="0" w:after="0"/>
      <w:ind w:left="1871" w:right="0" w:hanging="0"/>
      <w:jc w:val="left"/>
      <w:rPr>
        <w:rFonts w:ascii="Montserrat" w:hAnsi="Montserrat" w:eastAsia="Montserrat" w:cs="Montserrat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8"/>
        <w:szCs w:val="18"/>
        <w:u w:val="none"/>
        <w:shd w:fill="auto" w:val="clear"/>
        <w:vertAlign w:val="baseline"/>
      </w:rPr>
    </w:pPr>
    <w:r>
      <w:rPr>
        <w:rFonts w:eastAsia="Montserrat" w:cs="Montserrat" w:ascii="Montserrat" w:hAnsi="Montserrat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highlight w:val="white"/>
        <w:u w:val="none"/>
        <w:vertAlign w:val="baseline"/>
      </w:rPr>
      <w:t>София 1000, ул. Триадица 6, ет. 5</w:t>
    </w:r>
    <w:r>
      <w:rPr>
        <w:rFonts w:eastAsia="Montserrat" w:cs="Montserrat" w:ascii="Montserrat" w:hAnsi="Montserrat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, офис 504,</w:t>
    </w:r>
    <w:r>
      <w:rPr>
        <w:rFonts w:eastAsia="Montserrat" w:cs="Montserrat" w:ascii="Montserrat" w:hAnsi="Montserrat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highlight w:val="white"/>
        <w:u w:val="none"/>
        <w:vertAlign w:val="baseline"/>
      </w:rPr>
      <w:t xml:space="preserve"> e-mail: </w:t>
    </w:r>
    <w:hyperlink r:id="rId4">
      <w:r>
        <w:rPr>
          <w:rFonts w:eastAsia="Montserrat" w:cs="Montserrat"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highlight w:val="white"/>
          <w:u w:val="single"/>
          <w:vertAlign w:val="baseline"/>
        </w:rPr>
        <w:t>bbf@biodiversity.bg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703" w:leader="none"/>
        <w:tab w:val="right" w:pos="9406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-739140</wp:posOffset>
          </wp:positionH>
          <wp:positionV relativeFrom="paragraph">
            <wp:posOffset>-214630</wp:posOffset>
          </wp:positionV>
          <wp:extent cx="2499360" cy="1249680"/>
          <wp:effectExtent l="0" t="0" r="0" b="0"/>
          <wp:wrapNone/>
          <wp:docPr id="1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1249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13">
          <wp:simplePos x="0" y="0"/>
          <wp:positionH relativeFrom="column">
            <wp:posOffset>2132965</wp:posOffset>
          </wp:positionH>
          <wp:positionV relativeFrom="paragraph">
            <wp:posOffset>-10795</wp:posOffset>
          </wp:positionV>
          <wp:extent cx="1584960" cy="838200"/>
          <wp:effectExtent l="0" t="0" r="0" b="0"/>
          <wp:wrapSquare wrapText="bothSides"/>
          <wp:docPr id="2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6">
          <wp:simplePos x="0" y="0"/>
          <wp:positionH relativeFrom="column">
            <wp:posOffset>3414395</wp:posOffset>
          </wp:positionH>
          <wp:positionV relativeFrom="paragraph">
            <wp:posOffset>-789940</wp:posOffset>
          </wp:positionV>
          <wp:extent cx="3840480" cy="2272030"/>
          <wp:effectExtent l="0" t="0" r="0" b="0"/>
          <wp:wrapNone/>
          <wp:docPr id="3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2272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703" w:leader="none"/>
        <w:tab w:val="right" w:pos="9406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703" w:leader="none"/>
        <w:tab w:val="right" w:pos="9406" w:leader="none"/>
      </w:tabs>
      <w:spacing w:lineRule="auto" w:line="240" w:before="0" w:after="0"/>
      <w:ind w:left="9406" w:right="0" w:hanging="8329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mc:AlternateContent>
        <mc:Choice Requires="wps">
          <w:drawing>
            <wp:anchor behindDoc="1" distT="9525" distB="9525" distL="9525" distR="9525" simplePos="0" locked="0" layoutInCell="0" allowOverlap="1" relativeHeight="7">
              <wp:simplePos x="0" y="0"/>
              <wp:positionH relativeFrom="column">
                <wp:posOffset>-711200</wp:posOffset>
              </wp:positionH>
              <wp:positionV relativeFrom="paragraph">
                <wp:posOffset>469900</wp:posOffset>
              </wp:positionV>
              <wp:extent cx="7777480" cy="19685"/>
              <wp:effectExtent l="0" t="0" r="0" b="0"/>
              <wp:wrapNone/>
              <wp:docPr id="4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6720" cy="1908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c4e0b2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Image1" stroked="t" style="position:absolute;margin-left:-56pt;margin-top:37pt;width:612.3pt;height:1.45pt;mso-wrap-style:none;v-text-anchor:middle" type="shapetype_32">
              <v:fill o:detectmouseclick="t" on="false"/>
              <v:stroke color="#c4e0b2" weight="19080" joinstyle="miter" endcap="flat"/>
              <w10:wrap type="none"/>
            </v:shape>
          </w:pict>
        </mc:Fallback>
      </mc:AlternateContent>
    </w: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  <w:szCs w:val="22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  <w:szCs w:val="22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  <w:szCs w:val="22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  <w:szCs w:val="22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  <w:szCs w:val="22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  <w:szCs w:val="22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  <w:szCs w:val="22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  <w:szCs w:val="22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  <w:szCs w:val="22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  <w:szCs w:val="22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  <w:szCs w:val="22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  <w:szCs w:val="22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  <w:szCs w:val="22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  <w:szCs w:val="22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  <w:szCs w:val="22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  <w:szCs w:val="22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  <w:szCs w:val="22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  <w:szCs w:val="22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  <w:sz w:val="20"/>
        <w:szCs w:val="20"/>
        <w:rFonts w:ascii="Verdana" w:hAnsi="Verdana" w:eastAsia="Verdana" w:cs="Verdan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  <w:sz w:val="22"/>
        <w:szCs w:val="22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bg-BG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7b241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bg-BG" w:eastAsia="en-US" w:bidi="ar-SA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a779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a7795"/>
    <w:rPr/>
  </w:style>
  <w:style w:type="character" w:styleId="InternetLink">
    <w:name w:val="Hyperlink"/>
    <w:basedOn w:val="DefaultParagraphFont"/>
    <w:uiPriority w:val="99"/>
    <w:unhideWhenUsed/>
    <w:rsid w:val="00fd273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c3f97"/>
    <w:rPr>
      <w:b/>
      <w:bCs/>
    </w:rPr>
  </w:style>
  <w:style w:type="paragraph" w:styleId="Heading">
    <w:name w:val="Heading"/>
    <w:basedOn w:val="Normal1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1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1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bg-BG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HeaderandFooter">
    <w:name w:val="Header and Footer"/>
    <w:basedOn w:val="Normal1"/>
    <w:qFormat/>
    <w:pPr/>
    <w:rPr/>
  </w:style>
  <w:style w:type="paragraph" w:styleId="Header">
    <w:name w:val="Header"/>
    <w:basedOn w:val="Normal1"/>
    <w:link w:val="HeaderChar"/>
    <w:uiPriority w:val="99"/>
    <w:unhideWhenUsed/>
    <w:rsid w:val="00ca7795"/>
    <w:pPr>
      <w:tabs>
        <w:tab w:val="clear" w:pos="720"/>
        <w:tab w:val="center" w:pos="4703" w:leader="none"/>
        <w:tab w:val="right" w:pos="9406" w:leader="none"/>
      </w:tabs>
    </w:pPr>
    <w:rPr/>
  </w:style>
  <w:style w:type="paragraph" w:styleId="Footer">
    <w:name w:val="Footer"/>
    <w:basedOn w:val="Normal1"/>
    <w:link w:val="FooterChar"/>
    <w:uiPriority w:val="99"/>
    <w:unhideWhenUsed/>
    <w:rsid w:val="00ca7795"/>
    <w:pPr>
      <w:tabs>
        <w:tab w:val="clear" w:pos="720"/>
        <w:tab w:val="center" w:pos="4703" w:leader="none"/>
        <w:tab w:val="right" w:pos="9406" w:leader="none"/>
      </w:tabs>
    </w:pPr>
    <w:rPr/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ameon@biodiversity.bg" TargetMode="External"/><Relationship Id="rId3" Type="http://schemas.openxmlformats.org/officeDocument/2006/relationships/hyperlink" Target="mailto:gameon@biodiversity.bg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gameon.biodiversity.bg/" TargetMode="External"/><Relationship Id="rId2" Type="http://schemas.openxmlformats.org/officeDocument/2006/relationships/hyperlink" Target="http://bbf.biodiversity.bg/" TargetMode="External"/><Relationship Id="rId3" Type="http://schemas.openxmlformats.org/officeDocument/2006/relationships/image" Target="media/image4.jpeg"/><Relationship Id="rId4" Type="http://schemas.openxmlformats.org/officeDocument/2006/relationships/hyperlink" Target="mailto:bbf@biodiversity.bg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jv1HhoaT5uT8sOL/awJiDbnONHw==">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LibreOffice/7.1.6.2$Windows_X86_64 LibreOffice_project/0e133318fcee89abacd6a7d077e292f1145735c3</Application>
  <AppVersion>15.0000</AppVersion>
  <Pages>3</Pages>
  <Words>1082</Words>
  <Characters>6309</Characters>
  <CharactersWithSpaces>7332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2020-11-24T15:40:00Z</dcterms:created>
  <dc:creator>Aleksandar Nikolov</dc:creator>
  <dc:description/>
  <dc:language>en-US</dc:language>
  <cp:lastModifiedBy/>
  <dcterms:modified xsi:type="dcterms:W3CDTF">2021-11-30T11:44:51Z</dcterms:modified>
  <cp:revision>1</cp:revision>
  <dc:subject/>
  <dc:title/>
</cp:coreProperties>
</file>