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74" w:rsidRPr="00450274" w:rsidRDefault="00450274" w:rsidP="00450274">
      <w:pPr>
        <w:pStyle w:val="Title"/>
        <w:spacing w:after="120"/>
        <w:rPr>
          <w:rFonts w:ascii="Cambria" w:hAnsi="Cambria"/>
          <w:bCs w:val="0"/>
          <w:lang w:val="bg-BG"/>
        </w:rPr>
      </w:pPr>
      <w:bookmarkStart w:id="0" w:name="_GoBack"/>
      <w:bookmarkEnd w:id="0"/>
      <w:r w:rsidRPr="00450274">
        <w:rPr>
          <w:rFonts w:ascii="Cambria" w:hAnsi="Cambria" w:cs="Times New Roman"/>
          <w:sz w:val="22"/>
          <w:lang w:val="ru-RU"/>
        </w:rPr>
        <w:t xml:space="preserve">КОНСПЕКТ </w:t>
      </w:r>
      <w:r w:rsidRPr="00450274">
        <w:rPr>
          <w:rFonts w:ascii="Cambria" w:hAnsi="Cambria"/>
          <w:bCs w:val="0"/>
          <w:lang w:val="bg-BG"/>
        </w:rPr>
        <w:t>ЗА КАНДИДАТ-ДОКТОРАНТСКИ ИЗПИТ</w:t>
      </w:r>
    </w:p>
    <w:p w:rsidR="00DC79C6" w:rsidRPr="00450274" w:rsidRDefault="00450274" w:rsidP="00450274">
      <w:pPr>
        <w:pStyle w:val="Title"/>
        <w:spacing w:after="120"/>
        <w:rPr>
          <w:rFonts w:ascii="Cambria" w:hAnsi="Cambria" w:cs="Times New Roman"/>
          <w:sz w:val="22"/>
          <w:lang w:val="bg-BG"/>
        </w:rPr>
      </w:pPr>
      <w:r w:rsidRPr="00450274">
        <w:rPr>
          <w:rFonts w:ascii="Cambria" w:hAnsi="Cambria"/>
          <w:bCs w:val="0"/>
          <w:lang w:val="bg-BG"/>
        </w:rPr>
        <w:t>ПО ПРОФЕСИОНАЛНО НАПРАВЛЕНИЕ</w:t>
      </w:r>
    </w:p>
    <w:p w:rsidR="00DC79C6" w:rsidRPr="00450274" w:rsidRDefault="00450274" w:rsidP="00450274">
      <w:pPr>
        <w:spacing w:after="120" w:line="240" w:lineRule="auto"/>
        <w:jc w:val="center"/>
        <w:rPr>
          <w:rFonts w:ascii="Cambria" w:hAnsi="Cambria"/>
          <w:b/>
          <w:bCs/>
          <w:szCs w:val="24"/>
          <w:lang w:val="ru-RU"/>
        </w:rPr>
      </w:pPr>
      <w:r w:rsidRPr="00450274">
        <w:rPr>
          <w:rFonts w:ascii="Cambria" w:hAnsi="Cambria"/>
          <w:b/>
          <w:szCs w:val="24"/>
          <w:lang w:val="bg-BG" w:bidi="ar-LB"/>
        </w:rPr>
        <w:t>2.1. ФИЛОЛОГИЯ</w:t>
      </w:r>
      <w:r w:rsidRPr="00450274">
        <w:rPr>
          <w:rFonts w:ascii="Cambria" w:hAnsi="Cambria"/>
          <w:b/>
          <w:szCs w:val="24"/>
          <w:lang w:val="ru-RU"/>
        </w:rPr>
        <w:t xml:space="preserve"> (</w:t>
      </w:r>
      <w:r w:rsidRPr="00450274">
        <w:rPr>
          <w:rFonts w:ascii="Cambria" w:hAnsi="Cambria"/>
          <w:b/>
          <w:szCs w:val="24"/>
          <w:lang w:val="bg-BG" w:bidi="ar-LB"/>
        </w:rPr>
        <w:t>СЕМИТСКО-ХАМИТСКИ ЕЗИЦИ - АРАБСКО ЕЗИКОЗНАНИЕ</w:t>
      </w:r>
      <w:r w:rsidRPr="00450274">
        <w:rPr>
          <w:rFonts w:ascii="Cambria" w:hAnsi="Cambria"/>
          <w:b/>
          <w:szCs w:val="24"/>
          <w:lang w:val="ru-RU"/>
        </w:rPr>
        <w:t>)</w:t>
      </w:r>
    </w:p>
    <w:p w:rsidR="00DC79C6" w:rsidRPr="006C7CA0" w:rsidRDefault="00DC79C6" w:rsidP="006C7CA0">
      <w:pPr>
        <w:spacing w:after="120" w:line="240" w:lineRule="auto"/>
        <w:rPr>
          <w:rFonts w:ascii="Cambria" w:hAnsi="Cambria"/>
          <w:b/>
          <w:sz w:val="24"/>
          <w:szCs w:val="24"/>
          <w:lang w:val="bg-BG"/>
        </w:rPr>
      </w:pPr>
      <w:r w:rsidRPr="006C7CA0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</w:p>
    <w:p w:rsidR="00FA680A" w:rsidRPr="006C7CA0" w:rsidRDefault="006C7CA0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Фонемна система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Съгласни, гласни и полугласни. Особености на консонантната система. Особености на вокалната система. </w:t>
      </w:r>
    </w:p>
    <w:p w:rsidR="00283D5D" w:rsidRPr="006C7CA0" w:rsidRDefault="006C7CA0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Фонетични промени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. Комбинаторни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фонетични промени – асимилация,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дисимилация, междусловна асимилация.</w:t>
      </w:r>
    </w:p>
    <w:p w:rsidR="00283D5D" w:rsidRPr="006C7CA0" w:rsidRDefault="00283D5D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>Особености на сричката. Видове срички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>: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според позицията на гласната, според квантитета на гласната, според качеството удареност/неудареност. Структура на сричката в 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КАЕ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</w:p>
    <w:p w:rsidR="00283D5D" w:rsidRPr="006C7CA0" w:rsidRDefault="0086405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>Арабско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писмо. Отн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ошения между графеми и фонеми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Транскрипция: 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фонематична, фонетична и практическа. Транслитерация.</w:t>
      </w:r>
    </w:p>
    <w:p w:rsidR="00283D5D" w:rsidRPr="006C7CA0" w:rsidRDefault="0086405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Речников фонд на 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книжовния арабски</w:t>
      </w:r>
      <w:r w:rsidR="00383E75">
        <w:rPr>
          <w:rFonts w:ascii="Cambria" w:eastAsia="Calibri" w:hAnsi="Cambria" w:cs="Times New Roman"/>
          <w:sz w:val="24"/>
          <w:szCs w:val="24"/>
          <w:lang w:val="ru-RU"/>
        </w:rPr>
        <w:t xml:space="preserve"> език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>. Основ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н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и етапи във формирането на речниковия фонд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Класически лексеми и неологизми. Диалектна и книжовна лексика. Регионална книжовна лексика. Терминологична лексика. Заемки в книжовния арабски език.</w:t>
      </w:r>
    </w:p>
    <w:p w:rsidR="00864055" w:rsidRPr="006C7CA0" w:rsidRDefault="00383E7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Л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>ексикална семантика: денотативно обусловени типове лексикални значения, сигнификативно обусловени типове лексикални значения, структурно обусловени типове лексикални значения (полисемия, омонимия, синонимия).</w:t>
      </w:r>
    </w:p>
    <w:p w:rsidR="00283D5D" w:rsidRPr="006C7CA0" w:rsidRDefault="00383E75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 xml:space="preserve">Семантично обусловени </w:t>
      </w:r>
      <w:r w:rsidR="001E678A" w:rsidRPr="006C7CA0">
        <w:rPr>
          <w:rFonts w:ascii="Cambria" w:eastAsia="Calibri" w:hAnsi="Cambria" w:cs="Times New Roman"/>
          <w:sz w:val="24"/>
          <w:szCs w:val="24"/>
          <w:lang w:val="ru-RU"/>
        </w:rPr>
        <w:t>словосъчетания: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идиоматични и фразеологични</w:t>
      </w:r>
      <w:r>
        <w:rPr>
          <w:rFonts w:ascii="Cambria" w:eastAsia="Calibri" w:hAnsi="Cambria" w:cs="Times New Roman"/>
          <w:sz w:val="24"/>
          <w:szCs w:val="24"/>
          <w:lang w:val="ru-RU"/>
        </w:rPr>
        <w:t xml:space="preserve"> словосъчетания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. Граматическа характеристика</w:t>
      </w:r>
      <w:r w:rsidR="001E678A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на устойчивите словосъчетания.</w:t>
      </w:r>
    </w:p>
    <w:p w:rsidR="00283D5D" w:rsidRPr="006C7CA0" w:rsidRDefault="00283D5D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Морфоструктура на </w:t>
      </w:r>
      <w:r w:rsidR="00383E75">
        <w:rPr>
          <w:rFonts w:ascii="Cambria" w:hAnsi="Cambria"/>
          <w:sz w:val="24"/>
          <w:szCs w:val="24"/>
          <w:lang w:val="ru-RU"/>
        </w:rPr>
        <w:t xml:space="preserve">арабската </w:t>
      </w:r>
      <w:r w:rsidRPr="006C7CA0">
        <w:rPr>
          <w:rFonts w:ascii="Cambria" w:hAnsi="Cambria"/>
          <w:sz w:val="24"/>
          <w:szCs w:val="24"/>
          <w:lang w:val="ru-RU"/>
        </w:rPr>
        <w:t>ду</w:t>
      </w:r>
      <w:r w:rsidR="00383E75">
        <w:rPr>
          <w:rFonts w:ascii="Cambria" w:hAnsi="Cambria"/>
          <w:sz w:val="24"/>
          <w:szCs w:val="24"/>
          <w:lang w:val="ru-RU"/>
        </w:rPr>
        <w:t>ма</w:t>
      </w:r>
      <w:r w:rsidRPr="006C7CA0">
        <w:rPr>
          <w:rFonts w:ascii="Cambria" w:hAnsi="Cambria"/>
          <w:sz w:val="24"/>
          <w:szCs w:val="24"/>
          <w:lang w:val="ru-RU"/>
        </w:rPr>
        <w:t xml:space="preserve">. </w:t>
      </w:r>
      <w:r w:rsidR="001E678A" w:rsidRPr="006C7CA0">
        <w:rPr>
          <w:rFonts w:ascii="Cambria" w:hAnsi="Cambria"/>
          <w:sz w:val="24"/>
          <w:szCs w:val="24"/>
          <w:lang w:val="ru-RU"/>
        </w:rPr>
        <w:t>К</w:t>
      </w:r>
      <w:r w:rsidRPr="006C7CA0">
        <w:rPr>
          <w:rFonts w:ascii="Cambria" w:hAnsi="Cambria"/>
          <w:sz w:val="24"/>
          <w:szCs w:val="24"/>
          <w:lang w:val="ru-RU"/>
        </w:rPr>
        <w:t>оренни и афиксални</w:t>
      </w:r>
      <w:r w:rsidR="001E678A" w:rsidRPr="006C7CA0">
        <w:rPr>
          <w:rFonts w:ascii="Cambria" w:hAnsi="Cambria"/>
          <w:sz w:val="24"/>
          <w:szCs w:val="24"/>
          <w:lang w:val="ru-RU"/>
        </w:rPr>
        <w:t xml:space="preserve"> морфеми</w:t>
      </w:r>
      <w:r w:rsidRPr="006C7CA0">
        <w:rPr>
          <w:rFonts w:ascii="Cambria" w:hAnsi="Cambria"/>
          <w:sz w:val="24"/>
          <w:szCs w:val="24"/>
          <w:lang w:val="ru-RU"/>
        </w:rPr>
        <w:t>. Видове корени в зависимост от броя на коренните фонеми. Видове корени в зависимост от характера на коренни</w:t>
      </w:r>
      <w:r w:rsidR="001E678A" w:rsidRPr="006C7CA0">
        <w:rPr>
          <w:rFonts w:ascii="Cambria" w:hAnsi="Cambria"/>
          <w:sz w:val="24"/>
          <w:szCs w:val="24"/>
          <w:lang w:val="ru-RU"/>
        </w:rPr>
        <w:t xml:space="preserve">те морфеми. </w:t>
      </w:r>
      <w:r w:rsidRPr="006C7CA0">
        <w:rPr>
          <w:rFonts w:ascii="Cambria" w:hAnsi="Cambria"/>
          <w:sz w:val="24"/>
          <w:szCs w:val="24"/>
          <w:lang w:val="ru-RU"/>
        </w:rPr>
        <w:t>Видове афикси – префикси, инфикси, постфикси, конфикси, трансфикси. Основа на думата. Типове основи – кратки и раз</w:t>
      </w:r>
      <w:r w:rsidR="00882A61" w:rsidRPr="006C7CA0">
        <w:rPr>
          <w:rFonts w:ascii="Cambria" w:hAnsi="Cambria"/>
          <w:sz w:val="24"/>
          <w:szCs w:val="24"/>
          <w:lang w:val="ru-RU"/>
        </w:rPr>
        <w:t xml:space="preserve">ширени, именни и глаголни. </w:t>
      </w:r>
    </w:p>
    <w:p w:rsidR="00882A61" w:rsidRPr="006C7CA0" w:rsidRDefault="001615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Имена и </w:t>
      </w:r>
      <w:r w:rsidR="00A0188F" w:rsidRPr="006C7CA0">
        <w:rPr>
          <w:rFonts w:ascii="Cambria" w:hAnsi="Cambria"/>
          <w:sz w:val="24"/>
          <w:szCs w:val="24"/>
          <w:lang w:val="ru-RU"/>
        </w:rPr>
        <w:t>местоимения: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="00DC79C6" w:rsidRPr="006C7CA0">
        <w:rPr>
          <w:rFonts w:ascii="Cambria" w:hAnsi="Cambria"/>
          <w:sz w:val="24"/>
          <w:szCs w:val="24"/>
          <w:lang w:val="ru-RU"/>
        </w:rPr>
        <w:t>семантико-граматични класове</w:t>
      </w:r>
      <w:r w:rsidR="00882A61" w:rsidRPr="006C7CA0">
        <w:rPr>
          <w:rFonts w:ascii="Cambria" w:hAnsi="Cambria"/>
          <w:sz w:val="24"/>
          <w:szCs w:val="24"/>
          <w:lang w:val="ru-RU"/>
        </w:rPr>
        <w:t xml:space="preserve"> (собствени и нарицателни, конкретни и абстрактни, единични и събирателни съществителни имена; </w:t>
      </w:r>
      <w:r w:rsidR="00882A61" w:rsidRPr="006C7CA0">
        <w:rPr>
          <w:rFonts w:ascii="Cambria" w:hAnsi="Cambria"/>
          <w:sz w:val="24"/>
          <w:szCs w:val="24"/>
          <w:lang w:val="bg-BG"/>
        </w:rPr>
        <w:t>качествени и относителни прилагателни имена; редни и бро</w:t>
      </w:r>
      <w:r w:rsidRPr="006C7CA0">
        <w:rPr>
          <w:rFonts w:ascii="Cambria" w:hAnsi="Cambria"/>
          <w:sz w:val="24"/>
          <w:szCs w:val="24"/>
          <w:lang w:val="bg-BG"/>
        </w:rPr>
        <w:t>й</w:t>
      </w:r>
      <w:r w:rsidR="00882A61" w:rsidRPr="006C7CA0">
        <w:rPr>
          <w:rFonts w:ascii="Cambria" w:hAnsi="Cambria"/>
          <w:sz w:val="24"/>
          <w:szCs w:val="24"/>
          <w:lang w:val="bg-BG"/>
        </w:rPr>
        <w:t xml:space="preserve">ни, цели и дробни числителни имена; </w:t>
      </w:r>
      <w:r w:rsidRPr="006C7CA0">
        <w:rPr>
          <w:rFonts w:ascii="Cambria" w:hAnsi="Cambria"/>
          <w:sz w:val="24"/>
          <w:szCs w:val="24"/>
          <w:lang w:val="bg-BG"/>
        </w:rPr>
        <w:t>наречия за място, време, начин; лични и показателни местоимения)</w:t>
      </w:r>
      <w:r w:rsidR="00A0188F" w:rsidRPr="006C7CA0">
        <w:rPr>
          <w:rFonts w:ascii="Cambria" w:hAnsi="Cambria"/>
          <w:sz w:val="24"/>
          <w:szCs w:val="24"/>
          <w:lang w:val="bg-BG"/>
        </w:rPr>
        <w:t>; образуване.</w:t>
      </w:r>
    </w:p>
    <w:p w:rsidR="00A0188F" w:rsidRPr="006C7CA0" w:rsidRDefault="00A0188F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Имена и местоимения: граматични категории (род, число, падеж, определеност/неопределеност)</w:t>
      </w:r>
    </w:p>
    <w:p w:rsidR="001615A9" w:rsidRPr="006C7CA0" w:rsidRDefault="001615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Г</w:t>
      </w:r>
      <w:r w:rsidR="00A0188F" w:rsidRPr="006C7CA0">
        <w:rPr>
          <w:rFonts w:ascii="Cambria" w:hAnsi="Cambria"/>
          <w:sz w:val="24"/>
          <w:szCs w:val="24"/>
          <w:lang w:val="ru-RU"/>
        </w:rPr>
        <w:t xml:space="preserve">лагол: </w:t>
      </w:r>
      <w:r w:rsidR="00DC79C6" w:rsidRPr="006C7CA0">
        <w:rPr>
          <w:rFonts w:ascii="Cambria" w:hAnsi="Cambria"/>
          <w:sz w:val="24"/>
          <w:szCs w:val="24"/>
          <w:lang w:val="ru-RU"/>
        </w:rPr>
        <w:t>семантико-граматични класове</w:t>
      </w:r>
      <w:r w:rsidRPr="006C7CA0">
        <w:rPr>
          <w:rFonts w:ascii="Cambria" w:hAnsi="Cambria"/>
          <w:sz w:val="24"/>
          <w:szCs w:val="24"/>
          <w:lang w:val="ru-RU"/>
        </w:rPr>
        <w:t xml:space="preserve"> (преходни и </w:t>
      </w:r>
      <w:r w:rsidR="00DC79C6" w:rsidRPr="006C7CA0">
        <w:rPr>
          <w:rFonts w:ascii="Cambria" w:hAnsi="Cambria"/>
          <w:sz w:val="24"/>
          <w:szCs w:val="24"/>
          <w:lang w:val="ru-RU"/>
        </w:rPr>
        <w:t>не</w:t>
      </w:r>
      <w:r w:rsidRPr="006C7CA0">
        <w:rPr>
          <w:rFonts w:ascii="Cambria" w:hAnsi="Cambria"/>
          <w:sz w:val="24"/>
          <w:szCs w:val="24"/>
          <w:lang w:val="ru-RU"/>
        </w:rPr>
        <w:t>преходни,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Pr="006C7CA0">
        <w:rPr>
          <w:rFonts w:ascii="Cambria" w:hAnsi="Cambria"/>
          <w:sz w:val="24"/>
          <w:szCs w:val="24"/>
          <w:lang w:val="ru-RU"/>
        </w:rPr>
        <w:t xml:space="preserve">възвратни и </w:t>
      </w:r>
      <w:r w:rsidR="00DC79C6" w:rsidRPr="006C7CA0">
        <w:rPr>
          <w:rFonts w:ascii="Cambria" w:hAnsi="Cambria"/>
          <w:sz w:val="24"/>
          <w:szCs w:val="24"/>
          <w:lang w:val="ru-RU"/>
        </w:rPr>
        <w:t>не</w:t>
      </w:r>
      <w:r w:rsidRPr="006C7CA0">
        <w:rPr>
          <w:rFonts w:ascii="Cambria" w:hAnsi="Cambria"/>
          <w:sz w:val="24"/>
          <w:szCs w:val="24"/>
          <w:lang w:val="ru-RU"/>
        </w:rPr>
        <w:t>възвратни, лични и безлични, пълнозначни и непълнозначни)</w:t>
      </w:r>
      <w:r w:rsidR="00A0188F" w:rsidRPr="006C7CA0">
        <w:rPr>
          <w:rFonts w:ascii="Cambria" w:hAnsi="Cambria"/>
          <w:sz w:val="24"/>
          <w:szCs w:val="24"/>
          <w:lang w:val="ru-RU"/>
        </w:rPr>
        <w:t>; о</w:t>
      </w:r>
      <w:r w:rsidRPr="006C7CA0">
        <w:rPr>
          <w:rFonts w:ascii="Cambria" w:hAnsi="Cambria"/>
          <w:sz w:val="24"/>
          <w:szCs w:val="24"/>
          <w:lang w:val="ru-RU"/>
        </w:rPr>
        <w:t>бразуване.</w:t>
      </w:r>
    </w:p>
    <w:p w:rsidR="001615A9" w:rsidRPr="006C7CA0" w:rsidRDefault="00A0188F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Глагол: граматични категории (лице, род, число, залог, наклонение, време)</w:t>
      </w:r>
    </w:p>
    <w:p w:rsidR="006431A9" w:rsidRPr="006C7CA0" w:rsidRDefault="006431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Словосъчетание: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синтактични характеристики на </w:t>
      </w:r>
      <w:r w:rsidRPr="006C7CA0">
        <w:rPr>
          <w:rFonts w:ascii="Cambria" w:hAnsi="Cambria"/>
          <w:sz w:val="24"/>
          <w:szCs w:val="24"/>
          <w:lang w:val="ru-RU"/>
        </w:rPr>
        <w:t>именни</w:t>
      </w:r>
      <w:r w:rsidR="00DC79C6" w:rsidRPr="006C7CA0">
        <w:rPr>
          <w:rFonts w:ascii="Cambria" w:hAnsi="Cambria"/>
          <w:sz w:val="24"/>
          <w:szCs w:val="24"/>
          <w:lang w:val="ru-RU"/>
        </w:rPr>
        <w:t>те</w:t>
      </w:r>
      <w:r w:rsidRPr="006C7CA0">
        <w:rPr>
          <w:rFonts w:ascii="Cambria" w:hAnsi="Cambria"/>
          <w:sz w:val="24"/>
          <w:szCs w:val="24"/>
          <w:lang w:val="ru-RU"/>
        </w:rPr>
        <w:t xml:space="preserve"> словосъчетания (съществително + прилагателно име, съществително + числително име, съществително + съществително име</w:t>
      </w:r>
      <w:r w:rsidR="00DC79C6" w:rsidRPr="006C7CA0">
        <w:rPr>
          <w:rFonts w:ascii="Cambria" w:hAnsi="Cambria"/>
          <w:sz w:val="24"/>
          <w:szCs w:val="24"/>
          <w:lang w:val="ru-RU"/>
        </w:rPr>
        <w:t>, прилагателно име + наречие</w:t>
      </w:r>
      <w:r w:rsidRPr="006C7CA0">
        <w:rPr>
          <w:rFonts w:ascii="Cambria" w:hAnsi="Cambria"/>
          <w:sz w:val="24"/>
          <w:szCs w:val="24"/>
          <w:lang w:val="ru-RU"/>
        </w:rPr>
        <w:t>)</w:t>
      </w:r>
      <w:r w:rsidR="00DC79C6" w:rsidRPr="006C7CA0">
        <w:rPr>
          <w:rFonts w:ascii="Cambria" w:hAnsi="Cambria"/>
          <w:sz w:val="24"/>
          <w:szCs w:val="24"/>
          <w:lang w:val="ru-RU"/>
        </w:rPr>
        <w:t>;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синтактични характеристики на </w:t>
      </w:r>
      <w:r w:rsidRPr="006C7CA0">
        <w:rPr>
          <w:rFonts w:ascii="Cambria" w:hAnsi="Cambria"/>
          <w:sz w:val="24"/>
          <w:szCs w:val="24"/>
          <w:lang w:val="ru-RU"/>
        </w:rPr>
        <w:t>глаголни</w:t>
      </w:r>
      <w:r w:rsidR="00DC79C6" w:rsidRPr="006C7CA0">
        <w:rPr>
          <w:rFonts w:ascii="Cambria" w:hAnsi="Cambria"/>
          <w:sz w:val="24"/>
          <w:szCs w:val="24"/>
          <w:lang w:val="ru-RU"/>
        </w:rPr>
        <w:t>те</w:t>
      </w:r>
      <w:r w:rsidRPr="006C7CA0">
        <w:rPr>
          <w:rFonts w:ascii="Cambria" w:hAnsi="Cambria"/>
          <w:sz w:val="24"/>
          <w:szCs w:val="24"/>
          <w:lang w:val="ru-RU"/>
        </w:rPr>
        <w:t xml:space="preserve"> словосъчетания (глагол + наречие; глагол + глагол)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; 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</w:p>
    <w:p w:rsidR="00283D5D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Просто изречение: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предикативно ядро; изречения с именен предикат – семантични и формални характеристики на функционалните компоненти; </w:t>
      </w:r>
      <w:r w:rsidR="00DC79C6" w:rsidRPr="006C7CA0">
        <w:rPr>
          <w:rFonts w:ascii="Cambria" w:hAnsi="Cambria"/>
          <w:sz w:val="24"/>
          <w:szCs w:val="24"/>
          <w:lang w:val="ru-RU"/>
        </w:rPr>
        <w:lastRenderedPageBreak/>
        <w:t>изречения с глаголен предикат - семантични и формални характеристики на функционалните компоненти</w:t>
      </w:r>
      <w:r w:rsidRPr="006C7CA0">
        <w:rPr>
          <w:rFonts w:ascii="Cambria" w:hAnsi="Cambria"/>
          <w:sz w:val="24"/>
          <w:szCs w:val="24"/>
          <w:lang w:val="ru-RU"/>
        </w:rPr>
        <w:t xml:space="preserve">. </w:t>
      </w:r>
    </w:p>
    <w:p w:rsidR="00283D5D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Просто изречение: активни и пасивни изречения; утвърдителни и отрицателни изречения; </w:t>
      </w:r>
      <w:r w:rsidR="00283D5D" w:rsidRPr="006C7CA0">
        <w:rPr>
          <w:rFonts w:ascii="Cambria" w:hAnsi="Cambria"/>
          <w:sz w:val="24"/>
          <w:szCs w:val="24"/>
          <w:lang w:val="ru-RU"/>
        </w:rPr>
        <w:t>съобщите</w:t>
      </w:r>
      <w:r w:rsidRPr="006C7CA0">
        <w:rPr>
          <w:rFonts w:ascii="Cambria" w:hAnsi="Cambria"/>
          <w:sz w:val="24"/>
          <w:szCs w:val="24"/>
          <w:lang w:val="ru-RU"/>
        </w:rPr>
        <w:t>лни, въпросителни, заповедни, подбудителни и</w:t>
      </w:r>
      <w:r w:rsidR="00283D5D" w:rsidRPr="006C7CA0">
        <w:rPr>
          <w:rFonts w:ascii="Cambria" w:hAnsi="Cambria"/>
          <w:sz w:val="24"/>
          <w:szCs w:val="24"/>
          <w:lang w:val="ru-RU"/>
        </w:rPr>
        <w:t xml:space="preserve"> възклицателни</w:t>
      </w:r>
      <w:r w:rsidRPr="006C7CA0">
        <w:rPr>
          <w:rFonts w:ascii="Cambria" w:hAnsi="Cambria"/>
          <w:sz w:val="24"/>
          <w:szCs w:val="24"/>
          <w:lang w:val="ru-RU"/>
        </w:rPr>
        <w:t xml:space="preserve"> изречения.</w:t>
      </w:r>
    </w:p>
    <w:p w:rsidR="00D92F41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Сложно изречение. Съчинителна и подчинителна връзка между съставните прости изречения. </w:t>
      </w:r>
      <w:r w:rsidR="00EB76AB" w:rsidRPr="006C7CA0">
        <w:rPr>
          <w:rFonts w:ascii="Cambria" w:hAnsi="Cambria"/>
          <w:sz w:val="24"/>
          <w:szCs w:val="24"/>
          <w:lang w:val="ru-RU"/>
        </w:rPr>
        <w:t xml:space="preserve">Видове съчинителни връзки (съединителна, присъединителна, съпоставителна, противопоставителна). </w:t>
      </w:r>
    </w:p>
    <w:p w:rsidR="00EB76AB" w:rsidRPr="006C7CA0" w:rsidRDefault="00EB76AB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ru-RU"/>
        </w:rPr>
        <w:t>Видове подчин</w:t>
      </w:r>
      <w:r w:rsidR="00E25DC9" w:rsidRPr="006C7CA0">
        <w:rPr>
          <w:rFonts w:ascii="Cambria" w:hAnsi="Cambria"/>
          <w:sz w:val="24"/>
          <w:szCs w:val="24"/>
          <w:lang w:val="ru-RU"/>
        </w:rPr>
        <w:t>ени изречения: подложни,</w:t>
      </w:r>
      <w:r w:rsidRPr="006C7CA0">
        <w:rPr>
          <w:rFonts w:ascii="Cambria" w:hAnsi="Cambria"/>
          <w:sz w:val="24"/>
          <w:szCs w:val="24"/>
          <w:lang w:val="ru-RU"/>
        </w:rPr>
        <w:t xml:space="preserve"> допълнителни, определителни, обстоятелствени (за време, за начин, за причина, за отстъпка, за условие, за следс</w:t>
      </w:r>
      <w:r w:rsidR="00E25DC9" w:rsidRPr="006C7CA0">
        <w:rPr>
          <w:rFonts w:ascii="Cambria" w:hAnsi="Cambria"/>
          <w:sz w:val="24"/>
          <w:szCs w:val="24"/>
          <w:lang w:val="ru-RU"/>
        </w:rPr>
        <w:t xml:space="preserve">твие). </w:t>
      </w:r>
    </w:p>
    <w:p w:rsidR="00B60095" w:rsidRPr="006C7CA0" w:rsidRDefault="00AB7061" w:rsidP="00383E75">
      <w:pPr>
        <w:pStyle w:val="BodyTextIndent"/>
        <w:numPr>
          <w:ilvl w:val="0"/>
          <w:numId w:val="6"/>
        </w:numPr>
        <w:spacing w:after="120"/>
        <w:jc w:val="left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bidi="ar-LB"/>
        </w:rPr>
        <w:t xml:space="preserve">Текст: семантична и прагматична свързаност и организация; </w:t>
      </w:r>
      <w:r w:rsidR="00383E75">
        <w:rPr>
          <w:rFonts w:ascii="Cambria" w:hAnsi="Cambria" w:cs="Times New Roman"/>
          <w:sz w:val="24"/>
          <w:szCs w:val="24"/>
          <w:lang w:bidi="ar-LB"/>
        </w:rPr>
        <w:t>средства за сигнализиране на текстовата свързаност (</w:t>
      </w:r>
      <w:r w:rsidRPr="006C7CA0">
        <w:rPr>
          <w:rFonts w:ascii="Cambria" w:hAnsi="Cambria" w:cs="Times New Roman"/>
          <w:sz w:val="24"/>
          <w:szCs w:val="24"/>
          <w:lang w:bidi="ar-LB"/>
        </w:rPr>
        <w:t>сл</w:t>
      </w:r>
      <w:r w:rsidR="00383E75">
        <w:rPr>
          <w:rFonts w:ascii="Cambria" w:hAnsi="Cambria" w:cs="Times New Roman"/>
          <w:sz w:val="24"/>
          <w:szCs w:val="24"/>
          <w:lang w:bidi="ar-LB"/>
        </w:rPr>
        <w:t>оворед</w:t>
      </w:r>
      <w:r w:rsidRPr="006C7CA0">
        <w:rPr>
          <w:rFonts w:ascii="Cambria" w:hAnsi="Cambria" w:cs="Times New Roman"/>
          <w:sz w:val="24"/>
          <w:szCs w:val="24"/>
          <w:lang w:bidi="ar-LB"/>
        </w:rPr>
        <w:t>,</w:t>
      </w:r>
      <w:r w:rsidR="00383E75">
        <w:rPr>
          <w:rFonts w:ascii="Cambria" w:hAnsi="Cambria" w:cs="Times New Roman"/>
          <w:sz w:val="24"/>
          <w:szCs w:val="24"/>
          <w:lang w:bidi="ar-LB"/>
        </w:rPr>
        <w:t xml:space="preserve"> конективи</w:t>
      </w:r>
      <w:r w:rsidRPr="006C7CA0">
        <w:rPr>
          <w:rFonts w:ascii="Cambria" w:hAnsi="Cambria" w:cs="Times New Roman"/>
          <w:sz w:val="24"/>
          <w:szCs w:val="24"/>
          <w:lang w:bidi="ar-LB"/>
        </w:rPr>
        <w:t>, проформи</w:t>
      </w:r>
      <w:r w:rsidR="00383E75">
        <w:rPr>
          <w:rFonts w:ascii="Cambria" w:hAnsi="Cambria" w:cs="Times New Roman"/>
          <w:sz w:val="24"/>
          <w:szCs w:val="24"/>
          <w:lang w:bidi="ar-LB"/>
        </w:rPr>
        <w:t>)</w:t>
      </w:r>
      <w:r w:rsidRPr="006C7CA0">
        <w:rPr>
          <w:rFonts w:ascii="Cambria" w:hAnsi="Cambria" w:cs="Times New Roman"/>
          <w:sz w:val="24"/>
          <w:szCs w:val="24"/>
          <w:lang w:bidi="ar-LB"/>
        </w:rPr>
        <w:t>.</w:t>
      </w:r>
    </w:p>
    <w:p w:rsidR="00B60095" w:rsidRPr="006C7CA0" w:rsidRDefault="00B6009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 xml:space="preserve">Типология на текста – разказващи, описващи и аргументативни текстове. </w:t>
      </w:r>
    </w:p>
    <w:p w:rsidR="00B60095" w:rsidRPr="006C7CA0" w:rsidRDefault="00B6009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>Типология на текста – художествени, публицистични</w:t>
      </w:r>
      <w:r w:rsidR="00864055" w:rsidRPr="006C7CA0">
        <w:rPr>
          <w:rFonts w:ascii="Cambria" w:hAnsi="Cambria" w:cs="Times New Roman"/>
          <w:sz w:val="24"/>
          <w:szCs w:val="24"/>
          <w:lang w:val="ru-RU"/>
        </w:rPr>
        <w:t xml:space="preserve">, научни, официално-делови текстове 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:rsidR="006C7CA0" w:rsidRPr="006C7CA0" w:rsidRDefault="006C7CA0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</w:p>
    <w:p w:rsidR="00283D5D" w:rsidRPr="006C7CA0" w:rsidRDefault="0079053F" w:rsidP="006C7CA0">
      <w:p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БИБЛИОГРАФИЯ</w:t>
      </w:r>
    </w:p>
    <w:p w:rsidR="0079053F" w:rsidRPr="006C7CA0" w:rsidRDefault="0079053F" w:rsidP="006C7CA0">
      <w:pPr>
        <w:pStyle w:val="BodyText"/>
        <w:spacing w:line="240" w:lineRule="auto"/>
        <w:rPr>
          <w:rFonts w:ascii="Cambria" w:hAnsi="Cambria" w:cs="Times New Roman"/>
          <w:sz w:val="24"/>
          <w:szCs w:val="24"/>
          <w:lang w:bidi="ar-LB"/>
        </w:rPr>
      </w:pPr>
      <w:r w:rsidRPr="006C7CA0">
        <w:rPr>
          <w:rFonts w:ascii="Cambria" w:hAnsi="Cambria" w:cs="Times New Roman"/>
          <w:sz w:val="24"/>
          <w:szCs w:val="24"/>
          <w:lang w:val="ru-RU" w:bidi="ar-LB"/>
        </w:rPr>
        <w:t>Абд</w:t>
      </w:r>
      <w:r w:rsidRPr="006C7CA0">
        <w:rPr>
          <w:rFonts w:ascii="Cambria" w:hAnsi="Cambria" w:cs="Times New Roman"/>
          <w:sz w:val="24"/>
          <w:szCs w:val="24"/>
          <w:lang w:val="bg-BG" w:bidi="ar-LB"/>
        </w:rPr>
        <w:t xml:space="preserve">ул 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Рауф (2006) </w:t>
      </w:r>
      <w:r w:rsidRPr="006C7CA0">
        <w:rPr>
          <w:rFonts w:ascii="Cambria" w:hAnsi="Cambria" w:cs="Times New Roman"/>
          <w:sz w:val="24"/>
          <w:szCs w:val="24"/>
          <w:lang w:bidi="ar-LB"/>
        </w:rPr>
        <w:t>Hussein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sz w:val="24"/>
          <w:szCs w:val="24"/>
          <w:lang w:bidi="ar-LB"/>
        </w:rPr>
        <w:t>Abdul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>-</w:t>
      </w:r>
      <w:r w:rsidRPr="006C7CA0">
        <w:rPr>
          <w:rFonts w:ascii="Cambria" w:hAnsi="Cambria" w:cs="Times New Roman"/>
          <w:sz w:val="24"/>
          <w:szCs w:val="24"/>
          <w:lang w:bidi="ar-LB"/>
        </w:rPr>
        <w:t>Raof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,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Arabic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Rhetoric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: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Pragmatic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Analysis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. 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London and New York: Routledge </w:t>
      </w:r>
    </w:p>
    <w:p w:rsidR="0079053F" w:rsidRPr="006C7CA0" w:rsidRDefault="0079053F" w:rsidP="006C7CA0">
      <w:pPr>
        <w:pStyle w:val="BodyText"/>
        <w:spacing w:line="240" w:lineRule="auto"/>
        <w:rPr>
          <w:rFonts w:ascii="Cambria" w:hAnsi="Cambria" w:cs="Times New Roman"/>
          <w:sz w:val="24"/>
          <w:szCs w:val="24"/>
          <w:lang w:bidi="ar-LB"/>
        </w:rPr>
      </w:pPr>
      <w:r w:rsidRPr="006C7CA0">
        <w:rPr>
          <w:rFonts w:ascii="Cambria" w:hAnsi="Cambria" w:cs="Times New Roman"/>
          <w:sz w:val="24"/>
          <w:szCs w:val="24"/>
          <w:lang w:bidi="ar-LB"/>
        </w:rPr>
        <w:t xml:space="preserve">Басюни (2010) Reem Bassyouni (ed).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Arabic and the Media: Linguistic Analyses and Applications.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 Leiden, Boston: Brill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>Белкин В. (</w:t>
      </w:r>
      <w:r w:rsidRPr="006C7CA0">
        <w:rPr>
          <w:rFonts w:ascii="Cambria" w:hAnsi="Cambria" w:cs="Times New Roman"/>
          <w:sz w:val="24"/>
          <w:szCs w:val="24"/>
          <w:lang w:val="bg-BG"/>
        </w:rPr>
        <w:t>1975)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val="ru-RU"/>
        </w:rPr>
        <w:t>Арабская лексикология</w:t>
      </w:r>
      <w:r w:rsidRPr="006C7CA0">
        <w:rPr>
          <w:rFonts w:ascii="Cambria" w:hAnsi="Cambria" w:cs="Times New Roman"/>
          <w:sz w:val="24"/>
          <w:szCs w:val="24"/>
          <w:lang w:val="ru-RU"/>
        </w:rPr>
        <w:t>, Москва.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>Белова, А. Г. (1991) Морфемы в семитских языках /на материале арабского/. – В: Морфема и проблемы типологии. Москва.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 w:cs="Traditional Arabic"/>
          <w:sz w:val="24"/>
          <w:szCs w:val="24"/>
          <w:lang w:val="bg-BG" w:eastAsia="bg-BG"/>
        </w:rPr>
      </w:pP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Блох (1986), </w:t>
      </w:r>
      <w:r w:rsidRPr="006C7CA0">
        <w:rPr>
          <w:rFonts w:ascii="Cambria" w:hAnsi="Cambria" w:cs="Traditional Arabic"/>
          <w:sz w:val="24"/>
          <w:szCs w:val="24"/>
        </w:rPr>
        <w:t>A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raditional Arabic"/>
          <w:sz w:val="24"/>
          <w:szCs w:val="24"/>
        </w:rPr>
        <w:t>Bloch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Studies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in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Arabic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Syntax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and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Semantics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raditional Arabic"/>
          <w:sz w:val="24"/>
          <w:szCs w:val="24"/>
        </w:rPr>
        <w:t>Wiesbaden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: </w:t>
      </w:r>
      <w:r w:rsidRPr="006C7CA0">
        <w:rPr>
          <w:rFonts w:ascii="Cambria" w:hAnsi="Cambria" w:cs="Traditional Arabic"/>
          <w:sz w:val="24"/>
          <w:szCs w:val="24"/>
        </w:rPr>
        <w:t>Harrassowitz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Габучян, Г. М. (1972)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Теория артикля и проблемы арабского синтаксиса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Гранде, Б. М. (1963)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Курс арабской грамматики в сравнительно-исто-рическом освещении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rPr>
          <w:rFonts w:ascii="Cambria" w:hAnsi="Cambria"/>
          <w:sz w:val="24"/>
          <w:szCs w:val="24"/>
        </w:rPr>
      </w:pPr>
      <w:r w:rsidRPr="006C7CA0">
        <w:rPr>
          <w:rFonts w:ascii="Cambria" w:hAnsi="Cambria" w:cs="Arial"/>
          <w:sz w:val="24"/>
          <w:szCs w:val="24"/>
          <w:lang w:val="bg-BG" w:bidi="ar-LB"/>
        </w:rPr>
        <w:t xml:space="preserve">Гъли (1997) </w:t>
      </w:r>
      <w:r w:rsidRPr="006C7CA0">
        <w:rPr>
          <w:rFonts w:ascii="Cambria" w:hAnsi="Cambria"/>
          <w:sz w:val="24"/>
          <w:szCs w:val="24"/>
        </w:rPr>
        <w:t xml:space="preserve">Adrian Gully, </w:t>
      </w:r>
      <w:r w:rsidRPr="006C7CA0">
        <w:rPr>
          <w:rFonts w:ascii="Cambria" w:hAnsi="Cambria"/>
          <w:sz w:val="24"/>
          <w:szCs w:val="24"/>
          <w:lang w:val="bg-BG"/>
        </w:rPr>
        <w:t>„</w:t>
      </w:r>
      <w:r w:rsidRPr="006C7CA0">
        <w:rPr>
          <w:rFonts w:ascii="Cambria" w:hAnsi="Cambria"/>
          <w:sz w:val="24"/>
          <w:szCs w:val="24"/>
        </w:rPr>
        <w:t>The discourse of Arabic Advertising</w:t>
      </w:r>
      <w:r w:rsidRPr="006C7CA0">
        <w:rPr>
          <w:rFonts w:ascii="Cambria" w:hAnsi="Cambria"/>
          <w:sz w:val="24"/>
          <w:szCs w:val="24"/>
          <w:lang w:val="bg-BG"/>
        </w:rPr>
        <w:t>“.</w:t>
      </w:r>
      <w:r w:rsidRPr="006C7CA0">
        <w:rPr>
          <w:rFonts w:ascii="Cambria" w:hAnsi="Cambria"/>
          <w:sz w:val="24"/>
          <w:szCs w:val="24"/>
        </w:rPr>
        <w:t xml:space="preserve"> In: </w:t>
      </w:r>
      <w:r w:rsidRPr="006C7CA0">
        <w:rPr>
          <w:rFonts w:ascii="Cambria" w:hAnsi="Cambria"/>
          <w:i/>
          <w:iCs/>
          <w:sz w:val="24"/>
          <w:szCs w:val="24"/>
        </w:rPr>
        <w:t>Journal of Islamic and Arabic Studies</w:t>
      </w:r>
      <w:r w:rsidRPr="006C7CA0">
        <w:rPr>
          <w:rFonts w:ascii="Cambria" w:hAnsi="Cambria"/>
          <w:sz w:val="24"/>
          <w:szCs w:val="24"/>
        </w:rPr>
        <w:t xml:space="preserve"> 1 (1996-7) 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Джонстън (1990): </w:t>
      </w:r>
      <w:r w:rsidRPr="006C7CA0">
        <w:rPr>
          <w:rFonts w:ascii="Cambria" w:hAnsi="Cambria"/>
          <w:sz w:val="24"/>
          <w:szCs w:val="24"/>
        </w:rPr>
        <w:t xml:space="preserve">Barbara Johnstone, </w:t>
      </w:r>
      <w:r w:rsidRPr="006C7CA0">
        <w:rPr>
          <w:rFonts w:ascii="Cambria" w:hAnsi="Cambria"/>
          <w:i/>
          <w:iCs/>
          <w:sz w:val="24"/>
          <w:szCs w:val="24"/>
        </w:rPr>
        <w:t>"</w:t>
      </w:r>
      <w:r w:rsidRPr="006C7CA0">
        <w:rPr>
          <w:rFonts w:ascii="Cambria" w:hAnsi="Cambria"/>
          <w:sz w:val="24"/>
          <w:szCs w:val="24"/>
        </w:rPr>
        <w:t>Orality" and discourse structure in MSA</w:t>
      </w:r>
      <w:r w:rsidRPr="006C7CA0">
        <w:rPr>
          <w:rFonts w:ascii="Cambria" w:hAnsi="Cambria"/>
          <w:sz w:val="24"/>
          <w:szCs w:val="24"/>
          <w:lang w:val="bg-BG"/>
        </w:rPr>
        <w:t>”</w:t>
      </w:r>
      <w:r w:rsidRPr="006C7CA0">
        <w:rPr>
          <w:rFonts w:ascii="Cambria" w:hAnsi="Cambria"/>
          <w:sz w:val="24"/>
          <w:szCs w:val="24"/>
        </w:rPr>
        <w:t xml:space="preserve">, in: </w:t>
      </w:r>
      <w:r w:rsidRPr="006C7CA0">
        <w:rPr>
          <w:rFonts w:ascii="Cambria" w:hAnsi="Cambria"/>
          <w:i/>
          <w:iCs/>
          <w:sz w:val="24"/>
          <w:szCs w:val="24"/>
        </w:rPr>
        <w:t>Perspectives in Arabic Linguistics I,</w:t>
      </w:r>
      <w:r w:rsidRPr="006C7CA0">
        <w:rPr>
          <w:rFonts w:ascii="Cambria" w:hAnsi="Cambria"/>
          <w:sz w:val="24"/>
          <w:szCs w:val="24"/>
        </w:rPr>
        <w:t xml:space="preserve"> Amst./ Phil.: Benjamins, 215-234</w:t>
      </w:r>
    </w:p>
    <w:p w:rsidR="00AF3D73" w:rsidRPr="006C7CA0" w:rsidRDefault="00AF3D73" w:rsidP="006C7CA0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Дюлгеров (2008) 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Ivan </w:t>
      </w:r>
      <w:r w:rsidRPr="006C7CA0">
        <w:rPr>
          <w:rFonts w:ascii="Cambria" w:hAnsi="Cambria" w:cs="Times New Roman"/>
          <w:sz w:val="24"/>
          <w:szCs w:val="24"/>
          <w:lang w:val="bg-BG"/>
        </w:rPr>
        <w:t>Dyulgerov</w:t>
      </w:r>
      <w:r w:rsidRPr="006C7CA0">
        <w:rPr>
          <w:rFonts w:ascii="Cambria" w:hAnsi="Cambria" w:cs="Times New Roman"/>
          <w:sz w:val="24"/>
          <w:szCs w:val="24"/>
        </w:rPr>
        <w:t xml:space="preserve">. On the Term ’Islam in its Original Context (in Arabic), </w:t>
      </w:r>
      <w:r w:rsidRPr="006C7CA0">
        <w:rPr>
          <w:rFonts w:ascii="Cambria" w:hAnsi="Cambria" w:cs="Times New Roman"/>
          <w:i/>
          <w:iCs/>
          <w:sz w:val="24"/>
          <w:szCs w:val="24"/>
        </w:rPr>
        <w:t>30 Years of Arabic and Islamic Studies in Bulgaria</w:t>
      </w:r>
      <w:r w:rsidRPr="006C7CA0">
        <w:rPr>
          <w:rFonts w:ascii="Cambria" w:hAnsi="Cambria" w:cs="Times New Roman"/>
          <w:sz w:val="24"/>
          <w:szCs w:val="24"/>
        </w:rPr>
        <w:t>, University Press St. Kliment Ohridski: Sofia, 2008, p. (11-26), p. 20-26.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Лебедев, В. В. (1989)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Отрицательные предложения и вопросы арабского синтаксиса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</w:rPr>
        <w:lastRenderedPageBreak/>
        <w:t xml:space="preserve">Паркинсън (1981), D. Parkinson, “VSO to SVO in Modern Standard Arabic: A study in diglossia syntax”, In: </w:t>
      </w:r>
      <w:r w:rsidRPr="006C7CA0">
        <w:rPr>
          <w:rFonts w:ascii="Cambria" w:hAnsi="Cambria"/>
          <w:i/>
          <w:iCs/>
          <w:sz w:val="24"/>
          <w:szCs w:val="24"/>
        </w:rPr>
        <w:t>Al-‘Arabiyya</w:t>
      </w:r>
      <w:r w:rsidRPr="006C7CA0">
        <w:rPr>
          <w:rFonts w:ascii="Cambria" w:hAnsi="Cambria"/>
          <w:sz w:val="24"/>
          <w:szCs w:val="24"/>
        </w:rPr>
        <w:t xml:space="preserve"> 14 (1981), pp. 24-37</w:t>
      </w:r>
    </w:p>
    <w:p w:rsidR="00AF3D73" w:rsidRPr="006C7CA0" w:rsidRDefault="00AF3D73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bidi="ar-IQ"/>
        </w:rPr>
        <w:t>Пашова, Ц</w:t>
      </w:r>
      <w:r w:rsidRPr="006C7CA0">
        <w:rPr>
          <w:rFonts w:ascii="Cambria" w:hAnsi="Cambria"/>
          <w:sz w:val="24"/>
          <w:szCs w:val="24"/>
          <w:lang w:bidi="ar-IQ"/>
        </w:rPr>
        <w:t>.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(2003) "</w:t>
      </w:r>
      <w:r w:rsidRPr="006C7CA0">
        <w:rPr>
          <w:rFonts w:ascii="Cambria" w:hAnsi="Cambria"/>
          <w:sz w:val="24"/>
          <w:szCs w:val="24"/>
          <w:lang w:bidi="ar-IQ"/>
        </w:rPr>
        <w:t>The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VS</w:t>
      </w:r>
      <w:r w:rsidRPr="006C7CA0">
        <w:rPr>
          <w:rFonts w:ascii="Cambria" w:hAnsi="Cambria"/>
          <w:sz w:val="24"/>
          <w:szCs w:val="24"/>
          <w:lang w:val="bg-BG" w:bidi="ar-IQ"/>
        </w:rPr>
        <w:t>-</w:t>
      </w:r>
      <w:r w:rsidRPr="006C7CA0">
        <w:rPr>
          <w:rFonts w:ascii="Cambria" w:hAnsi="Cambria"/>
          <w:sz w:val="24"/>
          <w:szCs w:val="24"/>
          <w:lang w:bidi="ar-IQ"/>
        </w:rPr>
        <w:t>SV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Alternation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in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Modern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Standard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Arabic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from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textual perspective".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 xml:space="preserve">In: </w:t>
      </w:r>
      <w:r w:rsidRPr="006C7CA0">
        <w:rPr>
          <w:rFonts w:ascii="Cambria" w:hAnsi="Cambria"/>
          <w:i/>
          <w:iCs/>
          <w:sz w:val="24"/>
          <w:szCs w:val="24"/>
          <w:lang w:bidi="ar-IQ"/>
        </w:rPr>
        <w:t>Zeitschrift für arabische Linguistik</w:t>
      </w:r>
      <w:r w:rsidRPr="006C7CA0">
        <w:rPr>
          <w:rFonts w:ascii="Cambria" w:hAnsi="Cambria"/>
          <w:sz w:val="24"/>
          <w:szCs w:val="24"/>
          <w:lang w:bidi="ar-IQ"/>
        </w:rPr>
        <w:t xml:space="preserve"> 42 (2003), pp. 7-40.</w:t>
      </w:r>
    </w:p>
    <w:p w:rsidR="0079053F" w:rsidRPr="006C7CA0" w:rsidRDefault="00AF3D73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bidi="ar-IQ"/>
        </w:rPr>
        <w:t>Пашова, Ц.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(2003) “</w:t>
      </w:r>
      <w:r w:rsidR="0079053F" w:rsidRPr="006C7CA0">
        <w:rPr>
          <w:rFonts w:ascii="Cambria" w:hAnsi="Cambria"/>
          <w:sz w:val="24"/>
          <w:szCs w:val="24"/>
          <w:lang w:bidi="ar-IQ"/>
        </w:rPr>
        <w:t>The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Functions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of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the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Particle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i/>
          <w:iCs/>
          <w:sz w:val="24"/>
          <w:szCs w:val="24"/>
          <w:lang w:bidi="ar-IQ"/>
        </w:rPr>
        <w:t>Inna</w:t>
      </w:r>
      <w:r w:rsidR="0079053F" w:rsidRPr="006C7CA0">
        <w:rPr>
          <w:rFonts w:ascii="Cambria" w:hAnsi="Cambria"/>
          <w:i/>
          <w:iCs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in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Arabic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Expository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Discourse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." В: </w:t>
      </w:r>
      <w:r w:rsidR="0079053F" w:rsidRPr="006C7CA0">
        <w:rPr>
          <w:rFonts w:ascii="Cambria" w:hAnsi="Cambria"/>
          <w:i/>
          <w:iCs/>
          <w:sz w:val="24"/>
          <w:szCs w:val="24"/>
          <w:lang w:val="bg-BG" w:bidi="ar-IQ"/>
        </w:rPr>
        <w:t xml:space="preserve">Арабистика и ислямознание ІІ. Студии по случай 60-годишнината на доц. д.ф.н. Пенка Самсарева. 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София: Университетско издателство “Св. Климент Охридски”, с. 126-142.</w:t>
      </w:r>
    </w:p>
    <w:p w:rsidR="0079053F" w:rsidRPr="006C7CA0" w:rsidRDefault="0079053F" w:rsidP="006C7CA0">
      <w:pPr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6C7CA0">
        <w:rPr>
          <w:rFonts w:ascii="Cambria" w:hAnsi="Cambria"/>
          <w:sz w:val="24"/>
          <w:szCs w:val="24"/>
          <w:lang w:val="bg-BG"/>
        </w:rPr>
        <w:t>Пашова, Ц</w:t>
      </w:r>
      <w:r w:rsidR="00AF3D73" w:rsidRPr="006C7CA0">
        <w:rPr>
          <w:rFonts w:ascii="Cambria" w:hAnsi="Cambria"/>
          <w:sz w:val="24"/>
          <w:szCs w:val="24"/>
        </w:rPr>
        <w:t>.</w:t>
      </w:r>
      <w:r w:rsidRPr="006C7CA0">
        <w:rPr>
          <w:rFonts w:ascii="Cambria" w:hAnsi="Cambria"/>
          <w:sz w:val="24"/>
          <w:szCs w:val="24"/>
          <w:lang w:val="bg-BG"/>
        </w:rPr>
        <w:t xml:space="preserve"> (2008) „</w:t>
      </w:r>
      <w:r w:rsidRPr="006C7CA0">
        <w:rPr>
          <w:rFonts w:ascii="Cambria" w:hAnsi="Cambria"/>
          <w:sz w:val="24"/>
          <w:szCs w:val="24"/>
        </w:rPr>
        <w:t>The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Functions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of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the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Arabic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Connective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i/>
          <w:iCs/>
          <w:sz w:val="24"/>
          <w:szCs w:val="24"/>
        </w:rPr>
        <w:t>fa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in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Written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Discourse</w:t>
      </w:r>
      <w:r w:rsidRPr="006C7CA0">
        <w:rPr>
          <w:rFonts w:ascii="Cambria" w:hAnsi="Cambria"/>
          <w:sz w:val="24"/>
          <w:szCs w:val="24"/>
          <w:lang w:val="bg-BG"/>
        </w:rPr>
        <w:t>”. В</w:t>
      </w:r>
      <w:r w:rsidRPr="006C7CA0">
        <w:rPr>
          <w:rFonts w:ascii="Cambria" w:hAnsi="Cambria"/>
          <w:sz w:val="24"/>
          <w:szCs w:val="24"/>
        </w:rPr>
        <w:t xml:space="preserve">: </w:t>
      </w:r>
      <w:r w:rsidRPr="006C7CA0">
        <w:rPr>
          <w:rFonts w:ascii="Cambria" w:hAnsi="Cambria"/>
          <w:i/>
          <w:iCs/>
          <w:sz w:val="24"/>
          <w:szCs w:val="24"/>
        </w:rPr>
        <w:t>30 years of Arabic and Islamic  Studies in Bulgaria.</w:t>
      </w:r>
      <w:r w:rsidRPr="006C7CA0">
        <w:rPr>
          <w:rFonts w:ascii="Cambria" w:hAnsi="Cambria"/>
          <w:sz w:val="24"/>
          <w:szCs w:val="24"/>
        </w:rPr>
        <w:t xml:space="preserve"> Sofia: St. Kliment Ohridsky University Press. Pp. 97-126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C7CA0">
        <w:rPr>
          <w:rFonts w:ascii="Cambria" w:hAnsi="Cambria"/>
          <w:sz w:val="24"/>
          <w:szCs w:val="24"/>
          <w:lang w:val="bg-BG"/>
        </w:rPr>
        <w:t>Пашова, Ц</w:t>
      </w:r>
      <w:r w:rsidR="00AF3D73" w:rsidRPr="006C7CA0">
        <w:rPr>
          <w:rFonts w:ascii="Cambria" w:hAnsi="Cambria"/>
          <w:sz w:val="24"/>
          <w:szCs w:val="24"/>
        </w:rPr>
        <w:t>.</w:t>
      </w:r>
      <w:r w:rsidRPr="006C7CA0">
        <w:rPr>
          <w:rFonts w:ascii="Cambria" w:hAnsi="Cambria"/>
          <w:sz w:val="24"/>
          <w:szCs w:val="24"/>
          <w:lang w:val="bg-BG"/>
        </w:rPr>
        <w:t xml:space="preserve"> (2011) </w:t>
      </w:r>
      <w:r w:rsidRPr="006C7CA0">
        <w:rPr>
          <w:rFonts w:ascii="Cambria" w:hAnsi="Cambria"/>
          <w:sz w:val="24"/>
          <w:szCs w:val="24"/>
        </w:rPr>
        <w:t xml:space="preserve">„Arabic connectives marking the antecedent as a cause: a feature based account”. </w:t>
      </w:r>
      <w:r w:rsidRPr="006C7CA0">
        <w:rPr>
          <w:rFonts w:ascii="Cambria" w:hAnsi="Cambria"/>
          <w:sz w:val="24"/>
          <w:szCs w:val="24"/>
          <w:lang w:val="bg-BG"/>
        </w:rPr>
        <w:t>В</w:t>
      </w:r>
      <w:r w:rsidRPr="006C7CA0">
        <w:rPr>
          <w:rFonts w:ascii="Cambria" w:hAnsi="Cambria"/>
          <w:sz w:val="24"/>
          <w:szCs w:val="24"/>
        </w:rPr>
        <w:t xml:space="preserve">: </w:t>
      </w:r>
      <w:r w:rsidRPr="006C7CA0">
        <w:rPr>
          <w:rFonts w:ascii="Cambria" w:hAnsi="Cambria"/>
          <w:i/>
          <w:iCs/>
          <w:sz w:val="24"/>
          <w:szCs w:val="24"/>
        </w:rPr>
        <w:t>A Festschrift for Nadya Anghelescu.</w:t>
      </w:r>
      <w:r w:rsidRPr="006C7CA0">
        <w:rPr>
          <w:rFonts w:ascii="Cambria" w:hAnsi="Cambria"/>
          <w:sz w:val="24"/>
          <w:szCs w:val="24"/>
        </w:rPr>
        <w:t xml:space="preserve"> Bucuresti: Editura Universitatii din Bucuresti. Pp. 366-380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Рыбалкин В. (1990) </w:t>
      </w:r>
      <w:r w:rsidRPr="006C7CA0">
        <w:rPr>
          <w:rFonts w:ascii="Cambria" w:hAnsi="Cambria" w:cs="Times New Roman"/>
          <w:i/>
          <w:iCs/>
          <w:sz w:val="24"/>
          <w:szCs w:val="24"/>
          <w:lang w:val="ru-RU"/>
        </w:rPr>
        <w:t>Арабская лексикографическая традиция.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Киев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Самсарева, П. (1985) „Към въпроса за класификацията на изреченията на именни и глаголни в съвременния арабски литературен език“. В: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Юбилейна научна сесия на ФКНФ</w:t>
      </w:r>
      <w:r w:rsidRPr="006C7CA0">
        <w:rPr>
          <w:rFonts w:ascii="Cambria" w:hAnsi="Cambria"/>
          <w:sz w:val="24"/>
          <w:szCs w:val="24"/>
          <w:lang w:val="bg-BG"/>
        </w:rPr>
        <w:t>, София.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Самсарева, П. (1994) </w:t>
      </w:r>
      <w:r w:rsidRPr="006C7CA0">
        <w:rPr>
          <w:rFonts w:ascii="Cambria" w:hAnsi="Cambria"/>
          <w:i/>
          <w:iCs/>
          <w:sz w:val="24"/>
          <w:szCs w:val="24"/>
          <w:lang w:val="ru-RU"/>
        </w:rPr>
        <w:t>Основни въпроси на учението за класовете думи в арабския език в светлината на традиционната арабска граматическа теория</w:t>
      </w:r>
      <w:r w:rsidRPr="006C7CA0">
        <w:rPr>
          <w:rFonts w:ascii="Cambria" w:hAnsi="Cambria"/>
          <w:sz w:val="24"/>
          <w:szCs w:val="24"/>
          <w:lang w:val="ru-RU"/>
        </w:rPr>
        <w:t>. В: Годишник на СУ, ФКНФ, кн. 1, т. 85. София.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Самсарева, П. (2001) </w:t>
      </w:r>
      <w:r w:rsidRPr="006C7CA0">
        <w:rPr>
          <w:rFonts w:ascii="Cambria" w:hAnsi="Cambria"/>
          <w:i/>
          <w:iCs/>
          <w:sz w:val="24"/>
          <w:szCs w:val="24"/>
          <w:lang w:val="ru-RU"/>
        </w:rPr>
        <w:t>Глаголното словообразуване в съвременния арабски книжовен език</w:t>
      </w:r>
      <w:r w:rsidRPr="006C7CA0">
        <w:rPr>
          <w:rFonts w:ascii="Cambria" w:hAnsi="Cambria"/>
          <w:sz w:val="24"/>
          <w:szCs w:val="24"/>
          <w:lang w:val="ru-RU"/>
        </w:rPr>
        <w:t>. София.</w:t>
      </w:r>
    </w:p>
    <w:p w:rsidR="0079053F" w:rsidRPr="006C7CA0" w:rsidRDefault="0079053F" w:rsidP="006C7CA0">
      <w:pPr>
        <w:pStyle w:val="BodyText2"/>
        <w:spacing w:line="240" w:lineRule="auto"/>
        <w:jc w:val="both"/>
        <w:rPr>
          <w:rFonts w:ascii="Cambria" w:hAnsi="Cambria"/>
        </w:rPr>
      </w:pPr>
      <w:r w:rsidRPr="006C7CA0">
        <w:rPr>
          <w:rFonts w:ascii="Cambria" w:hAnsi="Cambria"/>
          <w:lang w:val="bg-BG"/>
        </w:rPr>
        <w:t xml:space="preserve">Самсарева, П. </w:t>
      </w:r>
      <w:r w:rsidR="00AF3D73" w:rsidRPr="006C7CA0">
        <w:rPr>
          <w:rFonts w:ascii="Cambria" w:hAnsi="Cambria"/>
          <w:lang w:val="bg-BG"/>
        </w:rPr>
        <w:t>(1989) „</w:t>
      </w:r>
      <w:r w:rsidRPr="006C7CA0">
        <w:rPr>
          <w:rFonts w:ascii="Cambria" w:hAnsi="Cambria"/>
          <w:lang w:val="bg-BG"/>
        </w:rPr>
        <w:t>Сложно съставно с подчинено определително изречение в българския и арабския език /структурно-типологическа съпоставка/</w:t>
      </w:r>
      <w:r w:rsidR="00AF3D73" w:rsidRPr="006C7CA0">
        <w:rPr>
          <w:rFonts w:ascii="Cambria" w:hAnsi="Cambria"/>
          <w:lang w:val="bg-BG"/>
        </w:rPr>
        <w:t xml:space="preserve">“. –В: </w:t>
      </w:r>
      <w:r w:rsidR="00AF3D73" w:rsidRPr="006C7CA0">
        <w:rPr>
          <w:rFonts w:ascii="Cambria" w:hAnsi="Cambria"/>
          <w:i/>
          <w:iCs/>
          <w:lang w:val="bg-BG"/>
        </w:rPr>
        <w:t>В</w:t>
      </w:r>
      <w:r w:rsidRPr="006C7CA0">
        <w:rPr>
          <w:rFonts w:ascii="Cambria" w:hAnsi="Cambria"/>
          <w:i/>
          <w:iCs/>
          <w:lang w:val="bg-BG"/>
        </w:rPr>
        <w:t>тори международен конгрес по българистика. Сравнително и съпоставително езикознание</w:t>
      </w:r>
      <w:r w:rsidRPr="006C7CA0">
        <w:rPr>
          <w:rFonts w:ascii="Cambria" w:hAnsi="Cambria"/>
          <w:lang w:val="bg-BG"/>
        </w:rPr>
        <w:t xml:space="preserve">. </w:t>
      </w:r>
      <w:r w:rsidRPr="006C7CA0">
        <w:rPr>
          <w:rFonts w:ascii="Cambria" w:hAnsi="Cambria"/>
        </w:rPr>
        <w:t>С</w:t>
      </w:r>
      <w:r w:rsidR="00AF3D73" w:rsidRPr="006C7CA0">
        <w:rPr>
          <w:rFonts w:ascii="Cambria" w:hAnsi="Cambria"/>
          <w:lang w:val="bg-BG"/>
        </w:rPr>
        <w:t>офия</w:t>
      </w:r>
      <w:r w:rsidRPr="006C7CA0">
        <w:rPr>
          <w:rFonts w:ascii="Cambria" w:hAnsi="Cambria"/>
        </w:rPr>
        <w:t>, 1989.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bCs/>
          <w:sz w:val="24"/>
          <w:szCs w:val="24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>Уотсън (2002) J. C. E. W</w:t>
      </w:r>
      <w:r w:rsidRPr="006C7CA0">
        <w:rPr>
          <w:rFonts w:ascii="Cambria" w:hAnsi="Cambria" w:cs="Times New Roman"/>
          <w:sz w:val="24"/>
          <w:szCs w:val="24"/>
        </w:rPr>
        <w:t>atson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i/>
          <w:iCs/>
          <w:sz w:val="24"/>
          <w:szCs w:val="24"/>
        </w:rPr>
        <w:t>The Phonology and Morphology of Arabic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  <w:r w:rsidRPr="006C7CA0">
        <w:rPr>
          <w:rFonts w:ascii="Cambria" w:hAnsi="Cambria" w:cs="Times New Roman"/>
          <w:sz w:val="24"/>
          <w:szCs w:val="24"/>
        </w:rPr>
        <w:t xml:space="preserve"> Oxford University Press</w:t>
      </w:r>
      <w:r w:rsidRPr="006C7CA0">
        <w:rPr>
          <w:rFonts w:ascii="Cambria" w:hAnsi="Cambria" w:cs="Times New Roman"/>
          <w:bCs/>
          <w:sz w:val="24"/>
          <w:szCs w:val="24"/>
        </w:rPr>
        <w:t>.</w:t>
      </w:r>
    </w:p>
    <w:p w:rsidR="0079053F" w:rsidRPr="006C7CA0" w:rsidRDefault="0079053F" w:rsidP="006C7CA0">
      <w:pPr>
        <w:spacing w:after="120" w:line="240" w:lineRule="auto"/>
        <w:ind w:right="1077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Фахри (1995): </w:t>
      </w:r>
      <w:r w:rsidRPr="006C7CA0">
        <w:rPr>
          <w:rFonts w:ascii="Cambria" w:hAnsi="Cambria"/>
          <w:sz w:val="24"/>
          <w:szCs w:val="24"/>
        </w:rPr>
        <w:t xml:space="preserve">Ahmad Fakhri, </w:t>
      </w:r>
      <w:r w:rsidRPr="006C7CA0">
        <w:rPr>
          <w:rFonts w:ascii="Cambria" w:hAnsi="Cambria"/>
          <w:sz w:val="24"/>
          <w:szCs w:val="24"/>
          <w:lang w:val="bg-BG"/>
        </w:rPr>
        <w:t>“</w:t>
      </w:r>
      <w:r w:rsidRPr="006C7CA0">
        <w:rPr>
          <w:rFonts w:ascii="Cambria" w:hAnsi="Cambria"/>
          <w:sz w:val="24"/>
          <w:szCs w:val="24"/>
        </w:rPr>
        <w:t>Topic Continuity in  Arabic Narrative Discourse</w:t>
      </w:r>
      <w:r w:rsidRPr="006C7CA0">
        <w:rPr>
          <w:rFonts w:ascii="Cambria" w:hAnsi="Cambria"/>
          <w:sz w:val="24"/>
          <w:szCs w:val="24"/>
          <w:lang w:val="bg-BG"/>
        </w:rPr>
        <w:t>”</w:t>
      </w:r>
      <w:r w:rsidRPr="006C7CA0">
        <w:rPr>
          <w:rFonts w:ascii="Cambria" w:hAnsi="Cambria"/>
          <w:i/>
          <w:iCs/>
          <w:sz w:val="24"/>
          <w:szCs w:val="24"/>
        </w:rPr>
        <w:t xml:space="preserve">, </w:t>
      </w:r>
      <w:r w:rsidRPr="006C7CA0">
        <w:rPr>
          <w:rFonts w:ascii="Cambria" w:hAnsi="Cambria"/>
          <w:sz w:val="24"/>
          <w:szCs w:val="24"/>
        </w:rPr>
        <w:t xml:space="preserve">in: </w:t>
      </w:r>
      <w:r w:rsidRPr="006C7CA0">
        <w:rPr>
          <w:rFonts w:ascii="Cambria" w:hAnsi="Cambria"/>
          <w:i/>
          <w:iCs/>
          <w:sz w:val="24"/>
          <w:szCs w:val="24"/>
        </w:rPr>
        <w:t>Perspectives on Arabic Linguistics VII</w:t>
      </w:r>
      <w:r w:rsidRPr="006C7CA0">
        <w:rPr>
          <w:rFonts w:ascii="Cambria" w:hAnsi="Cambria"/>
          <w:sz w:val="24"/>
          <w:szCs w:val="24"/>
        </w:rPr>
        <w:t>, Amst./ Phil.: Benjamins, 141-156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Фахри (2004): </w:t>
      </w:r>
      <w:r w:rsidRPr="006C7CA0">
        <w:rPr>
          <w:rFonts w:ascii="Cambria" w:hAnsi="Cambria"/>
          <w:sz w:val="24"/>
          <w:szCs w:val="24"/>
        </w:rPr>
        <w:t>Ahmad Fakhri</w:t>
      </w:r>
      <w:r w:rsidRPr="006C7CA0">
        <w:rPr>
          <w:rFonts w:ascii="Cambria" w:hAnsi="Cambria"/>
          <w:sz w:val="24"/>
          <w:szCs w:val="24"/>
          <w:lang w:val="bg-BG"/>
        </w:rPr>
        <w:t xml:space="preserve">, </w:t>
      </w:r>
      <w:r w:rsidRPr="006C7CA0">
        <w:rPr>
          <w:rFonts w:ascii="Cambria" w:hAnsi="Cambria"/>
          <w:sz w:val="24"/>
          <w:szCs w:val="24"/>
        </w:rPr>
        <w:t>Rhetorical properties of Arabic research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article introductions. J. of Pragmatics 36/6: 1119-1138.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Халил (2000) </w:t>
      </w:r>
      <w:r w:rsidRPr="006C7CA0">
        <w:rPr>
          <w:rFonts w:ascii="Cambria" w:hAnsi="Cambria"/>
          <w:sz w:val="24"/>
          <w:szCs w:val="24"/>
          <w:lang w:eastAsia="bg-BG" w:bidi="ar-IQ"/>
        </w:rPr>
        <w:t xml:space="preserve">Esam Khalil, </w:t>
      </w:r>
      <w:r w:rsidRPr="006C7CA0">
        <w:rPr>
          <w:rFonts w:ascii="Cambria" w:hAnsi="Cambria"/>
          <w:i/>
          <w:iCs/>
          <w:sz w:val="24"/>
          <w:szCs w:val="24"/>
          <w:lang w:eastAsia="bg-BG" w:bidi="ar-IQ"/>
        </w:rPr>
        <w:t>Grounding in English and Arabic News Discourse</w:t>
      </w:r>
      <w:r w:rsidRPr="006C7CA0">
        <w:rPr>
          <w:rFonts w:ascii="Cambria" w:hAnsi="Cambria"/>
          <w:sz w:val="24"/>
          <w:szCs w:val="24"/>
          <w:lang w:eastAsia="bg-BG" w:bidi="ar-IQ"/>
        </w:rPr>
        <w:t>. Amsterdam: Benjamins.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bCs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Хейуд (1965) </w:t>
      </w:r>
      <w:r w:rsidRPr="006C7CA0">
        <w:rPr>
          <w:rFonts w:ascii="Cambria" w:hAnsi="Cambria" w:cs="Times New Roman"/>
          <w:sz w:val="24"/>
          <w:szCs w:val="24"/>
        </w:rPr>
        <w:t>J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sz w:val="24"/>
          <w:szCs w:val="24"/>
        </w:rPr>
        <w:t>Haywood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i/>
          <w:iCs/>
          <w:sz w:val="24"/>
          <w:szCs w:val="24"/>
        </w:rPr>
        <w:t>Arabic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lexicography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imes New Roman"/>
          <w:i/>
          <w:iCs/>
          <w:sz w:val="24"/>
          <w:szCs w:val="24"/>
        </w:rPr>
        <w:t>its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place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and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its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history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in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the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general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history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of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lexicography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sz w:val="24"/>
          <w:szCs w:val="24"/>
        </w:rPr>
        <w:t>Leiden</w:t>
      </w:r>
      <w:r w:rsidRPr="006C7CA0">
        <w:rPr>
          <w:rFonts w:ascii="Cambria" w:hAnsi="Cambria" w:cs="Times New Roman"/>
          <w:sz w:val="24"/>
          <w:szCs w:val="24"/>
          <w:lang w:val="bg-BG"/>
        </w:rPr>
        <w:t>-</w:t>
      </w:r>
      <w:r w:rsidRPr="006C7CA0">
        <w:rPr>
          <w:rFonts w:ascii="Cambria" w:hAnsi="Cambria" w:cs="Times New Roman"/>
          <w:sz w:val="24"/>
          <w:szCs w:val="24"/>
        </w:rPr>
        <w:t>Brill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</w:rPr>
      </w:pPr>
      <w:r w:rsidRPr="006C7CA0">
        <w:rPr>
          <w:rFonts w:ascii="Cambria" w:hAnsi="Cambria"/>
          <w:sz w:val="24"/>
          <w:szCs w:val="24"/>
        </w:rPr>
        <w:t xml:space="preserve">Хоулс: </w:t>
      </w:r>
      <w:r w:rsidRPr="006C7CA0">
        <w:rPr>
          <w:rFonts w:ascii="Cambria" w:hAnsi="Cambria"/>
          <w:sz w:val="24"/>
          <w:szCs w:val="24"/>
          <w:lang w:bidi="ar-LB"/>
        </w:rPr>
        <w:t xml:space="preserve">C. </w:t>
      </w:r>
      <w:r w:rsidRPr="006C7CA0">
        <w:rPr>
          <w:rFonts w:ascii="Cambria" w:hAnsi="Cambria"/>
          <w:sz w:val="24"/>
          <w:szCs w:val="24"/>
        </w:rPr>
        <w:t xml:space="preserve">Holes (1995) </w:t>
      </w:r>
      <w:r w:rsidRPr="006C7CA0">
        <w:rPr>
          <w:rFonts w:ascii="Cambria" w:hAnsi="Cambria"/>
          <w:i/>
          <w:iCs/>
          <w:sz w:val="24"/>
          <w:szCs w:val="24"/>
        </w:rPr>
        <w:t>Modern Arabic – Structures, Functions and Varieties</w:t>
      </w:r>
      <w:r w:rsidRPr="006C7CA0">
        <w:rPr>
          <w:rFonts w:ascii="Cambria" w:hAnsi="Cambria"/>
          <w:sz w:val="24"/>
          <w:szCs w:val="24"/>
        </w:rPr>
        <w:t>. Longman: London and New York.</w:t>
      </w:r>
    </w:p>
    <w:p w:rsidR="0079053F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Храковский, В. С. (1973)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Очерки по общему и арабскому синтаксису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383E75" w:rsidRDefault="00383E75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383E75" w:rsidRPr="006C7CA0" w:rsidRDefault="00383E75" w:rsidP="00FB2911">
      <w:pPr>
        <w:spacing w:after="120" w:line="240" w:lineRule="auto"/>
        <w:rPr>
          <w:rFonts w:ascii="Cambria" w:hAnsi="Cambria" w:cstheme="majorBidi"/>
          <w:sz w:val="24"/>
          <w:szCs w:val="24"/>
          <w:lang w:val="bg-BG"/>
        </w:rPr>
      </w:pPr>
      <w:r w:rsidRPr="006C7CA0">
        <w:rPr>
          <w:rFonts w:ascii="Cambria" w:hAnsi="Cambria" w:cstheme="majorBidi"/>
          <w:sz w:val="24"/>
          <w:szCs w:val="24"/>
          <w:lang w:val="bg-BG"/>
        </w:rPr>
        <w:t>Изпитът включва писмена и устна ч</w:t>
      </w:r>
      <w:r>
        <w:rPr>
          <w:rFonts w:ascii="Cambria" w:hAnsi="Cambria" w:cstheme="majorBidi"/>
          <w:sz w:val="24"/>
          <w:szCs w:val="24"/>
          <w:lang w:val="bg-BG"/>
        </w:rPr>
        <w:t xml:space="preserve">аст. </w:t>
      </w:r>
      <w:r w:rsidR="00FB2911">
        <w:rPr>
          <w:rFonts w:ascii="Cambria" w:hAnsi="Cambria" w:cstheme="majorBidi"/>
          <w:sz w:val="24"/>
          <w:szCs w:val="24"/>
          <w:lang w:val="bg-BG"/>
        </w:rPr>
        <w:t>На писмения</w:t>
      </w:r>
      <w:r>
        <w:rPr>
          <w:rFonts w:ascii="Cambria" w:hAnsi="Cambria" w:cstheme="majorBidi"/>
          <w:sz w:val="24"/>
          <w:szCs w:val="24"/>
          <w:lang w:val="bg-BG"/>
        </w:rPr>
        <w:t xml:space="preserve"> изпит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от кандидата се очаква в рамките на 90 минути да даде резюмиращ отговор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на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един </w:t>
      </w:r>
      <w:r w:rsidRPr="006C7CA0">
        <w:rPr>
          <w:rFonts w:ascii="Cambria" w:hAnsi="Cambria" w:cstheme="majorBidi"/>
          <w:sz w:val="24"/>
          <w:szCs w:val="24"/>
          <w:lang w:val="bg-BG"/>
        </w:rPr>
        <w:t>въпрос от конспекта</w:t>
      </w:r>
      <w:r>
        <w:rPr>
          <w:rFonts w:ascii="Cambria" w:hAnsi="Cambria" w:cstheme="majorBidi"/>
          <w:sz w:val="24"/>
          <w:szCs w:val="24"/>
          <w:lang w:val="bg-BG"/>
        </w:rPr>
        <w:t>. Устният изпит се състои в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 събеседване върху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писмения отговор на въпрос, както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и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върху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други въпроси от конспекта.  </w:t>
      </w:r>
    </w:p>
    <w:p w:rsidR="00383E75" w:rsidRPr="006C7CA0" w:rsidRDefault="00383E75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sectPr w:rsidR="00383E75" w:rsidRPr="006C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E29"/>
    <w:multiLevelType w:val="hybridMultilevel"/>
    <w:tmpl w:val="2DC2F90A"/>
    <w:lvl w:ilvl="0" w:tplc="F3B2B9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49DE0CC1"/>
    <w:multiLevelType w:val="hybridMultilevel"/>
    <w:tmpl w:val="D8D6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255A"/>
    <w:multiLevelType w:val="hybridMultilevel"/>
    <w:tmpl w:val="F5FEA5F0"/>
    <w:lvl w:ilvl="0" w:tplc="2D988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9855CD1"/>
    <w:multiLevelType w:val="hybridMultilevel"/>
    <w:tmpl w:val="A4F4A5CC"/>
    <w:lvl w:ilvl="0" w:tplc="54128D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D08034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A796AC6"/>
    <w:multiLevelType w:val="hybridMultilevel"/>
    <w:tmpl w:val="D9C63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923594"/>
    <w:multiLevelType w:val="hybridMultilevel"/>
    <w:tmpl w:val="E0ACA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A993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D"/>
    <w:rsid w:val="001310A0"/>
    <w:rsid w:val="001615A9"/>
    <w:rsid w:val="001E678A"/>
    <w:rsid w:val="00283D5D"/>
    <w:rsid w:val="00333F87"/>
    <w:rsid w:val="00383E75"/>
    <w:rsid w:val="00450274"/>
    <w:rsid w:val="004B523C"/>
    <w:rsid w:val="006431A9"/>
    <w:rsid w:val="00662D4B"/>
    <w:rsid w:val="006C7CA0"/>
    <w:rsid w:val="0079053F"/>
    <w:rsid w:val="00860660"/>
    <w:rsid w:val="00864055"/>
    <w:rsid w:val="00882A61"/>
    <w:rsid w:val="009600F4"/>
    <w:rsid w:val="00A0188F"/>
    <w:rsid w:val="00A149D3"/>
    <w:rsid w:val="00AB7061"/>
    <w:rsid w:val="00AF3D73"/>
    <w:rsid w:val="00B60095"/>
    <w:rsid w:val="00C25D36"/>
    <w:rsid w:val="00C737F2"/>
    <w:rsid w:val="00D92F41"/>
    <w:rsid w:val="00DC79C6"/>
    <w:rsid w:val="00E25DC9"/>
    <w:rsid w:val="00EB76AB"/>
    <w:rsid w:val="00FA680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D7473-E82E-49AC-876F-7419FF8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3D5D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rsid w:val="00283D5D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BodyText">
    <w:name w:val="Body Text"/>
    <w:basedOn w:val="Normal"/>
    <w:link w:val="BodyTextChar"/>
    <w:uiPriority w:val="99"/>
    <w:unhideWhenUsed/>
    <w:rsid w:val="00283D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3D5D"/>
  </w:style>
  <w:style w:type="paragraph" w:styleId="BodyText2">
    <w:name w:val="Body Text 2"/>
    <w:basedOn w:val="Normal"/>
    <w:link w:val="BodyText2Char"/>
    <w:rsid w:val="00C25D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25D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C79C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DC79C6"/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paragraph" w:styleId="NormalWeb">
    <w:name w:val="Normal (Web)"/>
    <w:basedOn w:val="Normal"/>
    <w:rsid w:val="00450274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 Pashova</dc:creator>
  <cp:keywords/>
  <dc:description/>
  <cp:lastModifiedBy>Мариана Дикова</cp:lastModifiedBy>
  <cp:revision>2</cp:revision>
  <dcterms:created xsi:type="dcterms:W3CDTF">2021-07-06T06:07:00Z</dcterms:created>
  <dcterms:modified xsi:type="dcterms:W3CDTF">2021-07-06T06:07:00Z</dcterms:modified>
</cp:coreProperties>
</file>