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Default="00C94A45" w:rsidP="0084037D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4037D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60CA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960CAC" w:rsidRPr="00960CAC"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E43407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84037D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7D" w:rsidRPr="00855659" w:rsidRDefault="0084037D" w:rsidP="0084037D">
            <w:pPr>
              <w:widowControl w:val="0"/>
              <w:spacing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37D" w:rsidRPr="0084037D" w:rsidRDefault="0084037D" w:rsidP="008403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b/>
                <w:sz w:val="24"/>
              </w:rPr>
              <w:t xml:space="preserve">Универсална </w:t>
            </w:r>
            <w:proofErr w:type="spellStart"/>
            <w:r w:rsidRPr="0084037D">
              <w:rPr>
                <w:rFonts w:ascii="Times New Roman" w:hAnsi="Times New Roman" w:cs="Times New Roman"/>
                <w:b/>
                <w:sz w:val="24"/>
              </w:rPr>
              <w:t>инфузионна</w:t>
            </w:r>
            <w:proofErr w:type="spellEnd"/>
            <w:r w:rsidRPr="008403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4037D">
              <w:rPr>
                <w:rFonts w:ascii="Times New Roman" w:hAnsi="Times New Roman" w:cs="Times New Roman"/>
                <w:b/>
                <w:sz w:val="24"/>
              </w:rPr>
              <w:t>спринцовкова</w:t>
            </w:r>
            <w:proofErr w:type="spellEnd"/>
            <w:r w:rsidRPr="0084037D">
              <w:rPr>
                <w:rFonts w:ascii="Times New Roman" w:hAnsi="Times New Roman" w:cs="Times New Roman"/>
                <w:b/>
                <w:sz w:val="24"/>
              </w:rPr>
              <w:t xml:space="preserve"> помпа</w:t>
            </w:r>
            <w:r w:rsidRPr="0084037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- преложима за широк спектър от пациенти: от недоносени деца до възрастни;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- софтуер на български език;</w:t>
            </w:r>
          </w:p>
          <w:p w:rsidR="0084037D" w:rsidRPr="0084037D" w:rsidRDefault="0084037D" w:rsidP="000206E5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водонепроницаема и прахоустойчива конструкция;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84037D">
              <w:rPr>
                <w:rFonts w:ascii="Times New Roman" w:hAnsi="Times New Roman" w:cs="Times New Roman"/>
                <w:sz w:val="24"/>
              </w:rPr>
              <w:t xml:space="preserve">работа със спринцовка: 5, 10, 20, 30, 50 и 60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- по поток с обхват: 0,1 до 1500 мл/час на стъпка от 0,1 мл и таргетен инфузионен обем от 0,1 до 9999,9 мл;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- по време с обхват: 1 сек. до 99:59:59 часа и таргетен инфузионен обем от 0,1 до 9999,9 мл.;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- по тегло на пациента с обхват: от 0,1 до 300,0 кг., таргетен инфузионен обем от 0,1 до 9999,9мл., време с обхват 1 сек. до 99:59:59 часа, количество на медикамента от 0,1 до 999,9 в мерни единици по избор от µ</w:t>
            </w:r>
            <w:r w:rsidRPr="0084037D">
              <w:rPr>
                <w:rFonts w:ascii="Times New Roman" w:hAnsi="Times New Roman" w:cs="Times New Roman"/>
                <w:sz w:val="24"/>
                <w:lang w:val="en-US"/>
              </w:rPr>
              <w:t xml:space="preserve">g/kg/h, mg/kg/h, 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µ</w:t>
            </w:r>
            <w:r w:rsidRPr="0084037D">
              <w:rPr>
                <w:rFonts w:ascii="Times New Roman" w:hAnsi="Times New Roman" w:cs="Times New Roman"/>
                <w:sz w:val="24"/>
                <w:lang w:val="en-US"/>
              </w:rPr>
              <w:t>g/kg/min, mg/kg/min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рампова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с предварително зададени периоди на нарастване и периоди на намаляване на скоростта на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в обхват 1 сек. 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до 99:59:59 часа и таргетен инфузионен обем от 0,1 до 9999,9 мл.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секвенционална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с две нива на скорост на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задавани в обхват 0,1 до 1500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/час с продължителност задавана в обхват 1 сек. 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до 99:59:59 часа и таргетен инфузионен обем задаван в обхват от 0,1 до 9999,9 мл.;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>- обхват на регулиране на скоростта на вливания разтвор в зависимост от размера на спринцовката;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>- точност на вливане: ±2% за дебити над 1мл/час;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 xml:space="preserve">- възможност за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мануална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или автоматична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болус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с обхват 0,1 до 1500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>/час;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 xml:space="preserve">- регулиране на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болус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обема при автоматична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болус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инфузия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 в обхват 0,1 до 9999,9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 xml:space="preserve">- функция „отворена вена“: изкл. или от 0,1 до 5,0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 xml:space="preserve">/час на стъпка от 0,1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>/час;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 xml:space="preserve">- функция </w:t>
            </w:r>
            <w:r w:rsidRPr="0084037D">
              <w:rPr>
                <w:rFonts w:ascii="Times New Roman" w:hAnsi="Times New Roman" w:cs="Times New Roman"/>
                <w:sz w:val="24"/>
                <w:lang w:val="en-US"/>
              </w:rPr>
              <w:t>Purge</w:t>
            </w:r>
            <w:r w:rsidRPr="0084037D">
              <w:rPr>
                <w:rFonts w:ascii="Times New Roman" w:hAnsi="Times New Roman" w:cs="Times New Roman"/>
                <w:sz w:val="24"/>
              </w:rPr>
              <w:t xml:space="preserve"> (прогонване на въздуха в системата): 0,1 до 1500 </w:t>
            </w:r>
            <w:proofErr w:type="spellStart"/>
            <w:r w:rsidRPr="0084037D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84037D">
              <w:rPr>
                <w:rFonts w:ascii="Times New Roman" w:hAnsi="Times New Roman" w:cs="Times New Roman"/>
                <w:sz w:val="24"/>
              </w:rPr>
              <w:t>/час (в зависимост от размера на спринцовката);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>- алармена система със звукова и светлинна сигнализация чрез голям алармен индикатор вграден в корпуса на алармата;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с висок приоритет: високо ниво на налягането /запушване/, достигнат предварително зададен обем на инфузията, празна спринцовка, разединена спринцовка, край на режим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KVO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, изтощена батерия, повреда в системата;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със среден приоритет: изтекъл режим „Готовност“, системата е извън норма;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i/>
                <w:sz w:val="24"/>
              </w:rPr>
              <w:t>- с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по-слаб приоритет: спринцовката е близко до изпразване, предварително зададения обем на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lastRenderedPageBreak/>
              <w:t>инфузия е близо да бъде постигнат, изтекло време на режим „готовност“, слаба батерия, няма батерия, липсва централно електрическо захранване;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предупредителни аларми: близка до изпразване спринцовка (регулируемо от 1 до 30 минути), 3 минути преди батерията да се изтощи, слаба батерия (30 минути);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електрическо захранване: 100-240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VAC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; 50-60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Hz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.-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10-16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 xml:space="preserve">V,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батерийно за повече от 10 часа автономна работа;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тегло: &lt; 2,5 кг.;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температура на околната среда: работна: 5 до 40 градуса С, на съхранение – минус 20 до 70 гр.С;</w:t>
            </w:r>
          </w:p>
          <w:p w:rsidR="0084037D" w:rsidRPr="0084037D" w:rsidRDefault="0084037D" w:rsidP="000206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4037D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влажност на околната среда: работна 15 до 95%, на съхранение 10 до 95%.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55659" w:rsidRDefault="0084037D" w:rsidP="0084037D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037D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7D" w:rsidRPr="00855659" w:rsidRDefault="0084037D" w:rsidP="0084037D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4037D" w:rsidRDefault="0084037D" w:rsidP="0084037D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b/>
                <w:sz w:val="24"/>
              </w:rPr>
              <w:t xml:space="preserve">Кислороден </w:t>
            </w:r>
            <w:proofErr w:type="spellStart"/>
            <w:r w:rsidRPr="0084037D">
              <w:rPr>
                <w:rFonts w:ascii="Times New Roman" w:hAnsi="Times New Roman" w:cs="Times New Roman"/>
                <w:b/>
                <w:sz w:val="24"/>
              </w:rPr>
              <w:t>концентратор</w:t>
            </w:r>
            <w:proofErr w:type="spellEnd"/>
            <w:r w:rsidRPr="0084037D">
              <w:rPr>
                <w:rFonts w:ascii="Times New Roman" w:hAnsi="Times New Roman" w:cs="Times New Roman"/>
                <w:b/>
                <w:sz w:val="24"/>
              </w:rPr>
              <w:t xml:space="preserve"> с индикатор на дебита и овлажнител</w:t>
            </w:r>
            <w:r w:rsidRPr="0084037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с инсталиран сензор за кислород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дебит от 1 до 5 литра в минута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концентрация на кислород (93 ± 3)% при дебит от 1 до 5 литра в минута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аларми: визуални и акустични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ниво на акустичен шум: по-малко от 50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dB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захранване: 230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V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, 50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Hz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консумирана мощност: до 320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W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при дебит 5 литра в минута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размери (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H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x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W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x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): не по-голям от 630 х 350 х 310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mm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тегло: по-малко от 17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kg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температура на съхранение: минус 30 до плюс 70 градуса С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влажност на околната среда на съхранение: 10 до 100%.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55659" w:rsidRDefault="0084037D" w:rsidP="008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037D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7D" w:rsidRDefault="0084037D" w:rsidP="0084037D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4037D" w:rsidRDefault="0084037D" w:rsidP="0084037D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b/>
                <w:sz w:val="24"/>
              </w:rPr>
              <w:t>Електрически аспиратор</w:t>
            </w:r>
            <w:r w:rsidRPr="0084037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удароустойчива и водонепроницаема конструкция по стандарт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IP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12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директна връзка между вакуума и събирателния съд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е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лектрическо захранване: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AC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100-240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V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12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V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, от вградена батерия за 45 до 60 минути автономна работа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дебит на аспирираната течност: до 32 л/мин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сила на вакуума: 50 до 550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mmHg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с  индикатори за нивото на избраната сила на вакуума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lastRenderedPageBreak/>
              <w:t xml:space="preserve">сила на шум по време на работа: макс. 70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dB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събирателен съд за многократна употреба с вместимост до 1 200 мл, инсталиран в противоударно легло, с устройство против препълване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ниско ниво на шум при работа.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55659" w:rsidRDefault="0084037D" w:rsidP="008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037D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7D" w:rsidRDefault="0084037D" w:rsidP="0084037D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4037D" w:rsidRDefault="0084037D" w:rsidP="0084037D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b/>
                <w:sz w:val="24"/>
              </w:rPr>
              <w:t>Автоклав</w:t>
            </w:r>
            <w:r w:rsidRPr="0084037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капацитет: обем на камерата ~ 23 литра; ø 250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mm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x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440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mm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размер на камерата (ШхВхД): до 180х160х380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mm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( полезен обем)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габаритен размер (ШхВхД): до 460х455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x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610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mm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консумация на вода за цикъл: ~ 0.3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l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обем на резервоарите за вода: 5л. и 3,5 л.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окомплектовка: касета за камерата; стойка за пликове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т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егло: до 50 Кг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0206E5">
            <w:pPr>
              <w:spacing w:after="0"/>
              <w:jc w:val="both"/>
              <w:rPr>
                <w:rStyle w:val="SubtleEmphasis"/>
                <w:rFonts w:ascii="Times New Roman" w:hAnsi="Times New Roman"/>
                <w:i w:val="0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- работна температура:  +5°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/ +40°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C;</w:t>
            </w:r>
          </w:p>
          <w:p w:rsidR="0084037D" w:rsidRPr="0084037D" w:rsidRDefault="0084037D" w:rsidP="000206E5">
            <w:pPr>
              <w:pStyle w:val="NoSpacing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стандартни работни програми: </w:t>
            </w:r>
          </w:p>
          <w:p w:rsidR="0084037D" w:rsidRPr="0084037D" w:rsidRDefault="0084037D" w:rsidP="0084037D">
            <w:pPr>
              <w:pStyle w:val="NoSpacing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134 - 135,5°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; 2,16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bar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налягане; 4’ стерилизация; 15’ сушене.</w:t>
            </w:r>
          </w:p>
          <w:p w:rsidR="0084037D" w:rsidRPr="0084037D" w:rsidRDefault="0084037D" w:rsidP="0084037D">
            <w:pPr>
              <w:pStyle w:val="NoSpacing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134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PRION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135,5°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2,16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bar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налягане; 18’ стерилизация; 15’ сушене.</w:t>
            </w:r>
          </w:p>
          <w:p w:rsidR="0084037D" w:rsidRPr="0084037D" w:rsidRDefault="0084037D" w:rsidP="0084037D">
            <w:pPr>
              <w:pStyle w:val="NoSpacing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121 122,5°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1,16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bar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20’ стерилизация; 15’ сушене.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134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Rapid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135,5°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2,16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bar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налягане; 3’ 30” стерилизация; 4’ сушене.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134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PRION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Rapid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135,5°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2,16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bar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налягане; 18’ стерилизация; 5’ сушене.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управление и контрол: 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микропроцесорно управление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сензор за проводимост - измерващ качеството на водата</w:t>
            </w:r>
          </w:p>
          <w:p w:rsidR="0084037D" w:rsidRPr="0084037D" w:rsidRDefault="0084037D" w:rsidP="000206E5">
            <w:pPr>
              <w:spacing w:after="0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вграден принтер за документиране на процесите;</w:t>
            </w:r>
          </w:p>
          <w:p w:rsidR="0084037D" w:rsidRPr="0084037D" w:rsidRDefault="0084037D" w:rsidP="000206E5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безопасност: 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защита от прегряване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предпазен клапан -  за налягане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заключване на вратата по време на цикъл;</w:t>
            </w:r>
          </w:p>
          <w:p w:rsidR="0084037D" w:rsidRPr="0084037D" w:rsidRDefault="0084037D" w:rsidP="0084037D">
            <w:pPr>
              <w:pStyle w:val="NoSpacing"/>
              <w:numPr>
                <w:ilvl w:val="0"/>
                <w:numId w:val="16"/>
              </w:numPr>
              <w:tabs>
                <w:tab w:val="left" w:pos="215"/>
              </w:tabs>
              <w:ind w:left="73" w:firstLine="0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Стандарти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: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 xml:space="preserve"> EN 13060; EN ISO </w:t>
            </w:r>
            <w:proofErr w:type="gram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14971;  EN</w:t>
            </w:r>
            <w:proofErr w:type="gram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 xml:space="preserve"> 61010-1; EN 61010-2-040; EN 61326; EN 13445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.</w:t>
            </w:r>
          </w:p>
          <w:p w:rsidR="0084037D" w:rsidRPr="0084037D" w:rsidRDefault="0084037D" w:rsidP="0084037D">
            <w:pPr>
              <w:pStyle w:val="ListParagraph"/>
              <w:suppressAutoHyphens w:val="0"/>
              <w:autoSpaceDE/>
              <w:snapToGrid/>
              <w:ind w:left="214"/>
              <w:jc w:val="both"/>
              <w:rPr>
                <w:rFonts w:ascii="Times New Roman" w:hAnsi="Times New Roman" w:cs="Times New Roman"/>
                <w:b/>
                <w:sz w:val="24"/>
                <w:lang w:val="bg-BG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55659" w:rsidRDefault="0084037D" w:rsidP="008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037D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7D" w:rsidRDefault="0084037D" w:rsidP="0084037D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4037D" w:rsidRDefault="0084037D" w:rsidP="0084037D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4037D">
              <w:rPr>
                <w:rFonts w:ascii="Times New Roman" w:hAnsi="Times New Roman" w:cs="Times New Roman"/>
                <w:b/>
                <w:sz w:val="24"/>
              </w:rPr>
              <w:t>Преносим ехограф</w:t>
            </w:r>
            <w:r w:rsidRPr="0084037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3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/ 4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 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изображения</w:t>
            </w:r>
            <w:r w:rsidRPr="0084037D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iLive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: - реалистично пресъздаване на естествения цвят на кожата на плода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lastRenderedPageBreak/>
              <w:t>(подобно на реален образ като от поглед с ендоскопска камера)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избор на ъгъла на падане на Светлината (лесно и бързо чрез инструмент тип «фенерче»)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 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избор на дълбочината на «сянката» Реалистичен изглед на плода с изображения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iTouch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: автоматично анатомично оптимизиране на образа с натискане на един бутон (за В режим и за доплер режим)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iZoom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: увеличаване на образа върху целия екран. отлична функция при нужда от наблюдаване на образа от по-голямо разстояние, напр. при показване на пациента, на негов придружител или на колеги. Много удобно е и при извършване на манипулации, биопсии и др.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snapToGrid/>
              <w:ind w:left="214" w:hanging="21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iStation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: интегрирана работна станция с база данни, въвеждане на пациент, проследяване на пациент с последващо добавяне на нови прегледи, сравнение, търсене, експортиране на данни, директен печат на рапорти на компютърен принтер, директен експорт на данни към компютър, функционален и представителен протокол с даните от изследването и други</w:t>
            </w:r>
            <w:r w:rsidRPr="0084037D">
              <w:rPr>
                <w:rFonts w:ascii="Times New Roman" w:hAnsi="Times New Roman" w:cs="Times New Roman"/>
                <w:sz w:val="24"/>
              </w:rPr>
              <w:t>;</w:t>
            </w:r>
          </w:p>
          <w:p w:rsidR="0084037D" w:rsidRPr="0084037D" w:rsidRDefault="0084037D" w:rsidP="000206E5">
            <w:pPr>
              <w:spacing w:after="0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iStorage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: директен трансфер на данни към компютър; </w:t>
            </w:r>
          </w:p>
          <w:p w:rsidR="0084037D" w:rsidRPr="0084037D" w:rsidRDefault="0084037D" w:rsidP="000206E5">
            <w:pPr>
              <w:spacing w:after="0"/>
              <w:jc w:val="both"/>
              <w:rPr>
                <w:rStyle w:val="SubtleEmphasis"/>
                <w:rFonts w:ascii="Times New Roman" w:hAnsi="Times New Roman"/>
                <w:i w:val="0"/>
                <w:sz w:val="24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избираеми формати на изображения: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BMP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JPG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DCM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AVI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DCM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CIN;</w:t>
            </w:r>
          </w:p>
          <w:p w:rsidR="0084037D" w:rsidRPr="0084037D" w:rsidRDefault="0084037D" w:rsidP="0084037D">
            <w:pPr>
              <w:pStyle w:val="NoSpacing"/>
              <w:shd w:val="clear" w:color="auto" w:fill="FFFFFF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 xml:space="preserve">-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iScanHelper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 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– самообучителен и справочен софтуер в ехографа;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интегриран дизайн с  адаптер; 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- 15-инчов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Full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Screen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дизайн;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- 60 ° ъгъл на регулиране на наклона на монитора;</w:t>
            </w:r>
          </w:p>
          <w:p w:rsidR="0084037D" w:rsidRPr="0084037D" w:rsidRDefault="0084037D" w:rsidP="000206E5">
            <w:pPr>
              <w:spacing w:after="0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три трансдюсерни порта; 4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USB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порта,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VGA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порт,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S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-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video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;</w:t>
            </w:r>
          </w:p>
          <w:p w:rsidR="0084037D" w:rsidRPr="0084037D" w:rsidRDefault="0084037D" w:rsidP="000206E5">
            <w:pPr>
              <w:pStyle w:val="NoSpacing"/>
              <w:jc w:val="both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- 500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G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В вградена памет за голям обем на базата данни и пълна проследимост в големи времеви интервали на развитието на състоянието на пациентите;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- 1,5 часа продължителност с акумулаторна батерия;</w:t>
            </w:r>
          </w:p>
          <w:p w:rsidR="0084037D" w:rsidRPr="0084037D" w:rsidRDefault="0084037D" w:rsidP="0084037D">
            <w:pPr>
              <w:pStyle w:val="NoSpacing"/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 xml:space="preserve">електронен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мултичестотен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 xml:space="preserve"> линеен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трансдюсер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 xml:space="preserve"> 75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L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38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EA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за изследване на скелетно-мускулна система, малки органи-гърда, тестиси, съдове;</w:t>
            </w:r>
          </w:p>
          <w:p w:rsidR="0084037D" w:rsidRPr="0084037D" w:rsidRDefault="0084037D" w:rsidP="0084037D">
            <w:pPr>
              <w:pStyle w:val="NoSpacing"/>
              <w:rPr>
                <w:rFonts w:ascii="Times New Roman" w:hAnsi="Times New Roman"/>
                <w:iCs/>
                <w:color w:val="404040"/>
                <w:sz w:val="24"/>
                <w:lang w:val="ru-RU"/>
              </w:rPr>
            </w:pP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lastRenderedPageBreak/>
              <w:t xml:space="preserve">-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 xml:space="preserve">Електронен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мултичестотен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 xml:space="preserve"> 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конвексен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 xml:space="preserve"> </w:t>
            </w:r>
            <w:proofErr w:type="spellStart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трансдюсер</w:t>
            </w:r>
            <w:proofErr w:type="spellEnd"/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 xml:space="preserve"> 35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C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>50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</w:rPr>
              <w:t>EA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ru-RU"/>
              </w:rPr>
              <w:t xml:space="preserve"> </w:t>
            </w:r>
            <w:r w:rsidRPr="0084037D">
              <w:rPr>
                <w:rStyle w:val="SubtleEmphasis"/>
                <w:rFonts w:ascii="Times New Roman" w:hAnsi="Times New Roman"/>
                <w:i w:val="0"/>
                <w:sz w:val="24"/>
                <w:lang w:val="bg-BG"/>
              </w:rPr>
              <w:t>за изследване на корем, гинекология, урология и съдове.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55659" w:rsidRDefault="0084037D" w:rsidP="008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84037D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7D" w:rsidRDefault="0084037D" w:rsidP="0084037D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0206E5" w:rsidRDefault="0084037D" w:rsidP="0084037D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06E5">
              <w:rPr>
                <w:rFonts w:ascii="Times New Roman" w:hAnsi="Times New Roman" w:cs="Times New Roman"/>
                <w:b/>
                <w:sz w:val="24"/>
              </w:rPr>
              <w:t>Преносим апарат за лабораторни изследвания</w:t>
            </w:r>
            <w:r w:rsidRPr="000206E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84037D" w:rsidRPr="0084037D" w:rsidRDefault="0084037D" w:rsidP="0084037D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4037D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изследване на пълна кръвна картина с диференциално броене</w:t>
            </w:r>
            <w:r w:rsidRPr="0084037D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4037D" w:rsidRPr="0084037D" w:rsidRDefault="0084037D" w:rsidP="0084037D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4037D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изследване на СУЕ</w:t>
            </w:r>
            <w:r w:rsidRPr="0084037D">
              <w:rPr>
                <w:rFonts w:ascii="Times New Roman" w:hAnsi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4037D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 xml:space="preserve">- изследване на </w:t>
            </w:r>
            <w:r w:rsidRPr="0084037D">
              <w:rPr>
                <w:rStyle w:val="Emphasis"/>
                <w:rFonts w:ascii="Times New Roman" w:hAnsi="Times New Roman"/>
                <w:b w:val="0"/>
                <w:sz w:val="24"/>
              </w:rPr>
              <w:t>CRP</w:t>
            </w:r>
            <w:r w:rsidRPr="0084037D">
              <w:rPr>
                <w:rFonts w:ascii="Times New Roman" w:hAnsi="Times New Roman"/>
                <w:sz w:val="24"/>
              </w:rPr>
              <w:t>;</w:t>
            </w:r>
          </w:p>
          <w:p w:rsidR="0084037D" w:rsidRPr="0084037D" w:rsidRDefault="0084037D" w:rsidP="0084037D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4037D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изследване на креатинин, урея, билирубин, АСАТ и АЛАТ</w:t>
            </w:r>
            <w:r w:rsidRPr="0084037D">
              <w:rPr>
                <w:rFonts w:ascii="Times New Roman" w:hAnsi="Times New Roman"/>
                <w:sz w:val="24"/>
              </w:rPr>
              <w:t>;</w:t>
            </w:r>
          </w:p>
          <w:p w:rsidR="0084037D" w:rsidRPr="000206E5" w:rsidRDefault="0084037D" w:rsidP="008403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037D">
              <w:rPr>
                <w:rStyle w:val="Emphasis"/>
                <w:rFonts w:ascii="Times New Roman" w:hAnsi="Times New Roman" w:cs="Times New Roman"/>
                <w:b w:val="0"/>
                <w:sz w:val="24"/>
              </w:rPr>
              <w:t>- опция: изследване на урина</w:t>
            </w:r>
            <w:r w:rsidRPr="008403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37D" w:rsidRPr="00855659" w:rsidRDefault="0084037D" w:rsidP="0084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0206E5" w:rsidRPr="00855659" w:rsidTr="000206E5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6E5" w:rsidRDefault="000206E5" w:rsidP="00BA12CB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6E5" w:rsidRPr="000206E5" w:rsidRDefault="000206E5" w:rsidP="000206E5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206E5">
              <w:rPr>
                <w:rFonts w:ascii="Times New Roman" w:hAnsi="Times New Roman" w:cs="Times New Roman"/>
                <w:b/>
                <w:sz w:val="24"/>
              </w:rPr>
              <w:t>Комбиниран хладилник</w:t>
            </w:r>
            <w:r w:rsidRPr="000206E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със следните характеристики: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 xml:space="preserve">- </w:t>
            </w:r>
            <w:r w:rsidRPr="000206E5">
              <w:rPr>
                <w:rFonts w:ascii="Times New Roman" w:hAnsi="Times New Roman"/>
                <w:sz w:val="24"/>
                <w:lang w:val="ru-RU"/>
              </w:rPr>
              <w:t>енергиен клас: А++</w:t>
            </w:r>
            <w:r w:rsidRPr="000206E5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общ обем: 296 л</w:t>
            </w:r>
            <w:r w:rsidRPr="000206E5">
              <w:rPr>
                <w:rFonts w:ascii="Times New Roman" w:hAnsi="Times New Roman"/>
                <w:i/>
                <w:sz w:val="24"/>
              </w:rPr>
              <w:t>;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фризер: долу</w:t>
            </w:r>
            <w:r w:rsidRPr="000206E5">
              <w:rPr>
                <w:rFonts w:ascii="Times New Roman" w:hAnsi="Times New Roman"/>
                <w:i/>
                <w:sz w:val="24"/>
              </w:rPr>
              <w:t>;</w:t>
            </w:r>
          </w:p>
          <w:p w:rsidR="000206E5" w:rsidRPr="000206E5" w:rsidRDefault="000206E5" w:rsidP="000206E5">
            <w:pPr>
              <w:pStyle w:val="NoSpacing"/>
              <w:rPr>
                <w:rFonts w:ascii="Times New Roman" w:hAnsi="Times New Roman"/>
                <w:bCs/>
                <w:sz w:val="24"/>
                <w:lang w:val="bg-BG"/>
              </w:rPr>
            </w:pP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ru-RU"/>
              </w:rPr>
              <w:t>- размери: височина: 181,20 см, ширина: 55 см, дълбочина: 63 см</w:t>
            </w:r>
            <w:r w:rsidRPr="000206E5">
              <w:rPr>
                <w:rStyle w:val="Emphasis"/>
                <w:rFonts w:ascii="Times New Roman" w:hAnsi="Times New Roman"/>
                <w:b w:val="0"/>
                <w:sz w:val="24"/>
                <w:lang w:val="bg-BG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6E5" w:rsidRPr="00855659" w:rsidRDefault="000206E5" w:rsidP="00BA1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206E5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60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нагряване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охлаждане</w:t>
      </w:r>
      <w:proofErr w:type="spellEnd"/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29572A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29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Универсална инфузионна спринцовкова помпа</w:t>
            </w:r>
            <w:r w:rsidR="00960CA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75BE9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BE9" w:rsidRDefault="00975BE9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BE9" w:rsidRDefault="0029572A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29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Кислороден концентратор с индикатор на дебита и овлажнител </w:t>
            </w:r>
            <w:r w:rsidR="00975B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975B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975B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BE9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5BE9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5BE9" w:rsidRPr="00217DBB" w:rsidRDefault="00975BE9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29572A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Pr="0029572A" w:rsidRDefault="0029572A" w:rsidP="00975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957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Електрически</w:t>
            </w:r>
            <w:proofErr w:type="spellEnd"/>
            <w:r w:rsidRPr="002957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957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аспиратор</w:t>
            </w:r>
            <w:proofErr w:type="spellEnd"/>
          </w:p>
          <w:p w:rsidR="0029572A" w:rsidRDefault="0029572A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29572A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Pr="0029572A" w:rsidRDefault="0029572A" w:rsidP="00975B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  <w:lang w:val="en-US"/>
              </w:rPr>
            </w:pPr>
            <w:r w:rsidRPr="0029572A">
              <w:rPr>
                <w:rFonts w:ascii="Times New Roman" w:hAnsi="Times New Roman" w:cs="Times New Roman"/>
                <w:b/>
                <w:sz w:val="24"/>
              </w:rPr>
              <w:t>Автоклав</w:t>
            </w:r>
          </w:p>
          <w:p w:rsidR="0029572A" w:rsidRDefault="0029572A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29572A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975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29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Преносим ехограф</w:t>
            </w:r>
          </w:p>
          <w:p w:rsidR="0029572A" w:rsidRDefault="0029572A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29572A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975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29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Преносим апарат за лабораторни изследвания</w:t>
            </w:r>
          </w:p>
          <w:p w:rsidR="0029572A" w:rsidRDefault="0029572A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29572A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975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295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Комбиниран хладилник</w:t>
            </w:r>
          </w:p>
          <w:p w:rsidR="0029572A" w:rsidRDefault="0029572A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FB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129E0" w:rsidRDefault="004129E0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129E0" w:rsidSect="00D13D64">
      <w:headerReference w:type="default" r:id="rId8"/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9E" w:rsidRDefault="009D609E" w:rsidP="001C30E8">
      <w:pPr>
        <w:spacing w:after="0" w:line="240" w:lineRule="auto"/>
      </w:pPr>
      <w:r>
        <w:separator/>
      </w:r>
    </w:p>
  </w:endnote>
  <w:endnote w:type="continuationSeparator" w:id="0">
    <w:p w:rsidR="009D609E" w:rsidRDefault="009D609E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7D" w:rsidRPr="00F47E20" w:rsidRDefault="0084037D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7D" w:rsidRDefault="0084037D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9E" w:rsidRDefault="009D609E" w:rsidP="001C30E8">
      <w:pPr>
        <w:spacing w:after="0" w:line="240" w:lineRule="auto"/>
      </w:pPr>
      <w:r>
        <w:separator/>
      </w:r>
    </w:p>
  </w:footnote>
  <w:footnote w:type="continuationSeparator" w:id="0">
    <w:p w:rsidR="009D609E" w:rsidRDefault="009D609E" w:rsidP="001C30E8">
      <w:pPr>
        <w:spacing w:after="0" w:line="240" w:lineRule="auto"/>
      </w:pPr>
      <w:r>
        <w:continuationSeparator/>
      </w:r>
    </w:p>
  </w:footnote>
  <w:footnote w:id="1">
    <w:p w:rsidR="0084037D" w:rsidRPr="00A21FC7" w:rsidRDefault="0084037D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4037D" w:rsidRDefault="0084037D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7D" w:rsidRPr="00E12149" w:rsidRDefault="0084037D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06E5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572A"/>
    <w:rsid w:val="00296D44"/>
    <w:rsid w:val="00307805"/>
    <w:rsid w:val="003A0A6C"/>
    <w:rsid w:val="003E38C8"/>
    <w:rsid w:val="003E3CD0"/>
    <w:rsid w:val="004129E0"/>
    <w:rsid w:val="004152CF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84037D"/>
    <w:rsid w:val="00845EF6"/>
    <w:rsid w:val="00850BF2"/>
    <w:rsid w:val="008C312E"/>
    <w:rsid w:val="008E2BE1"/>
    <w:rsid w:val="009433FC"/>
    <w:rsid w:val="00943D00"/>
    <w:rsid w:val="00960CAC"/>
    <w:rsid w:val="00965D8C"/>
    <w:rsid w:val="009664B8"/>
    <w:rsid w:val="00975BE9"/>
    <w:rsid w:val="009D609E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6D82"/>
    <w:rsid w:val="00D930CD"/>
    <w:rsid w:val="00DE1367"/>
    <w:rsid w:val="00E249F3"/>
    <w:rsid w:val="00E43407"/>
    <w:rsid w:val="00E819AE"/>
    <w:rsid w:val="00EF36B3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935DC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qFormat/>
    <w:rsid w:val="0084037D"/>
    <w:rPr>
      <w:rFonts w:cs="Times New Roman"/>
      <w:i/>
      <w:iCs/>
      <w:color w:val="404040"/>
    </w:rPr>
  </w:style>
  <w:style w:type="paragraph" w:styleId="NoSpacing">
    <w:name w:val="No Spacing"/>
    <w:qFormat/>
    <w:rsid w:val="008403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Emphasis">
    <w:name w:val="Emphasis"/>
    <w:uiPriority w:val="20"/>
    <w:qFormat/>
    <w:rsid w:val="0084037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21B0-23B1-42E7-B80F-673940A0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2577</Words>
  <Characters>14694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27</cp:revision>
  <cp:lastPrinted>2018-08-16T12:08:00Z</cp:lastPrinted>
  <dcterms:created xsi:type="dcterms:W3CDTF">2018-08-13T14:11:00Z</dcterms:created>
  <dcterms:modified xsi:type="dcterms:W3CDTF">2020-10-27T14:41:00Z</dcterms:modified>
</cp:coreProperties>
</file>