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038" w:rsidRDefault="00F55038" w:rsidP="00F55038">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Е Ц Е Н З И Я</w:t>
      </w:r>
    </w:p>
    <w:p w:rsidR="00F55038" w:rsidRDefault="00F55038" w:rsidP="00F55038">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предложения за защита дисертационен труд за присъждане на</w:t>
      </w:r>
    </w:p>
    <w:p w:rsidR="00F55038" w:rsidRDefault="00F55038" w:rsidP="00F55038">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образователната и научна степен ДОКТОР</w:t>
      </w:r>
    </w:p>
    <w:p w:rsidR="00F55038" w:rsidRDefault="00F55038" w:rsidP="00F55038">
      <w:pPr>
        <w:spacing w:after="0" w:line="360" w:lineRule="auto"/>
        <w:ind w:firstLine="720"/>
        <w:jc w:val="both"/>
        <w:rPr>
          <w:rFonts w:ascii="Times New Roman" w:eastAsia="Times New Roman" w:hAnsi="Times New Roman" w:cs="Times New Roman"/>
          <w:sz w:val="24"/>
          <w:szCs w:val="24"/>
        </w:rPr>
      </w:pP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на дисертационния труд: </w:t>
      </w:r>
    </w:p>
    <w:p w:rsidR="00F55038" w:rsidRDefault="00F55038" w:rsidP="00F550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PRIVATE TREATIES: WILLIAM EMPSON’S NOTES TO HIS POEMS</w:t>
      </w:r>
    </w:p>
    <w:p w:rsidR="00F55038" w:rsidRDefault="00F55038" w:rsidP="00F55038">
      <w:pPr>
        <w:spacing w:after="0" w:line="360" w:lineRule="auto"/>
        <w:jc w:val="center"/>
        <w:rPr>
          <w:rFonts w:ascii="Times New Roman" w:hAnsi="Times New Roman" w:cs="Times New Roman"/>
          <w:b/>
          <w:caps/>
          <w:sz w:val="28"/>
          <w:szCs w:val="28"/>
        </w:rPr>
      </w:pPr>
      <w:r>
        <w:rPr>
          <w:rFonts w:ascii="Times New Roman" w:hAnsi="Times New Roman" w:cs="Times New Roman"/>
          <w:b/>
          <w:caps/>
          <w:sz w:val="28"/>
          <w:szCs w:val="28"/>
        </w:rPr>
        <w:t>(Частни договорености: бележките на Уилям Емпсън към собствените му стихотворения)</w:t>
      </w:r>
    </w:p>
    <w:p w:rsidR="00F55038" w:rsidRDefault="00F55038" w:rsidP="00F55038">
      <w:pPr>
        <w:spacing w:after="0" w:line="360" w:lineRule="auto"/>
        <w:ind w:firstLine="720"/>
        <w:jc w:val="both"/>
        <w:rPr>
          <w:rFonts w:ascii="Times New Roman" w:eastAsia="Times New Roman" w:hAnsi="Times New Roman" w:cs="Times New Roman"/>
          <w:sz w:val="24"/>
          <w:szCs w:val="24"/>
        </w:rPr>
      </w:pPr>
    </w:p>
    <w:p w:rsidR="00F55038" w:rsidRDefault="00F55038" w:rsidP="00F550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Дисертант:</w:t>
      </w:r>
      <w:r>
        <w:rPr>
          <w:rFonts w:ascii="Times New Roman" w:hAnsi="Times New Roman" w:cs="Times New Roman"/>
        </w:rPr>
        <w:t xml:space="preserve"> </w:t>
      </w:r>
      <w:r>
        <w:rPr>
          <w:rFonts w:ascii="Times New Roman" w:hAnsi="Times New Roman" w:cs="Times New Roman"/>
          <w:b/>
          <w:sz w:val="28"/>
          <w:szCs w:val="28"/>
        </w:rPr>
        <w:t>Мария Петрова Димитрова, Софийски университет „Св. Климент Охридски“</w:t>
      </w:r>
    </w:p>
    <w:p w:rsidR="00F55038" w:rsidRDefault="00F55038" w:rsidP="00F55038">
      <w:pPr>
        <w:spacing w:after="0" w:line="360" w:lineRule="auto"/>
        <w:ind w:firstLine="720"/>
        <w:jc w:val="both"/>
        <w:rPr>
          <w:rFonts w:ascii="Times New Roman" w:eastAsia="Times New Roman" w:hAnsi="Times New Roman" w:cs="Times New Roman"/>
          <w:sz w:val="24"/>
          <w:szCs w:val="24"/>
        </w:rPr>
      </w:pPr>
    </w:p>
    <w:p w:rsidR="00F55038" w:rsidRDefault="00F55038" w:rsidP="00F5503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Рецензент: проф. дфн Клео Стефанова Протохристова, Пловдивски университет “Паисий Хилендарски”</w:t>
      </w:r>
    </w:p>
    <w:p w:rsidR="00F55038" w:rsidRDefault="00F55038" w:rsidP="00F55038">
      <w:pPr>
        <w:spacing w:after="0" w:line="360" w:lineRule="auto"/>
        <w:ind w:firstLine="720"/>
        <w:jc w:val="both"/>
        <w:rPr>
          <w:rFonts w:ascii="Times New Roman" w:eastAsia="Times New Roman" w:hAnsi="Times New Roman" w:cs="Times New Roman"/>
          <w:sz w:val="24"/>
          <w:szCs w:val="24"/>
        </w:rPr>
      </w:pP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Представеният за защита дисертационен труд на Мария Димитрова внушава респект още от пръв поглед – не толкова с внушителния си обем от 275 страници (съответни на 330 стандартни) и библиография, в която присъстват 196 заглавия, колкото със своята щастливо избрана тема. Изключително рядко явление е докторска дисертация, посветена на проблем, самата формулировка на който е вече откритие. А в конкретния случай действително се предлага научно изследване на практически непроучен литературен факт – обяснителните бележки, които Уилям Емпсън пише към собствените си стихотворения, за да бъдат включени, по изричното му настояване, в двата му поетически сборника, макар и достатъчно познати със своята необичайност и споменавани по един или друг начин в книжнината върху творчеството на известния литературен теоретик и поет,  всъщност не са били обект на цялостно и задълбочено изследване, каквото Мария Димитрова предлага. Изненадата от необичайно зрялата експертиза, за която говори подобен избор, поне </w:t>
      </w:r>
      <w:r>
        <w:rPr>
          <w:rFonts w:ascii="Times New Roman" w:eastAsia="Times New Roman" w:hAnsi="Times New Roman" w:cs="Times New Roman"/>
          <w:sz w:val="24"/>
          <w:szCs w:val="24"/>
        </w:rPr>
        <w:lastRenderedPageBreak/>
        <w:t>донякъде може да бъде неутрализирана от справка в професионална биография на  докторантката, от която се вижда, че темата на дипломната й работа при завършване на университетското й образование е била посветена на поезията на Т. С. Елиът</w:t>
      </w:r>
      <w:r w:rsidR="00E92F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92F78">
        <w:rPr>
          <w:rFonts w:ascii="Times New Roman" w:eastAsia="Times New Roman" w:hAnsi="Times New Roman" w:cs="Times New Roman"/>
          <w:sz w:val="24"/>
          <w:szCs w:val="24"/>
        </w:rPr>
        <w:t>несъмнено знак</w:t>
      </w:r>
      <w:r>
        <w:rPr>
          <w:rFonts w:ascii="Times New Roman" w:eastAsia="Times New Roman" w:hAnsi="Times New Roman" w:cs="Times New Roman"/>
          <w:sz w:val="24"/>
          <w:szCs w:val="24"/>
        </w:rPr>
        <w:t xml:space="preserve"> за рано развит вкус към авторефлексивната поезия на модернизма.</w:t>
      </w:r>
    </w:p>
    <w:p w:rsidR="00F55038" w:rsidRDefault="00F55038" w:rsidP="00F5503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Текстът на дисертацията, организиран в увод, пет основни глави и заключение, е структуриран напълно в съответствие с логиката на целите и задачите, поставени в нея. Това е наложило постъпателно, своеобразно стъпаловидно разгръщане на изложението, при което всяка отделна глава подготвя понятийния апарат, постановките и тезите, които в следващата ще бъдат функционализирани и оползотворени в аргументационното изграждане. Подобна хипотактична конструкция, дискретно, но и категорично отличаваща се от обичайните паратактични схеми, по които се пишат докторски дисертации, свидетелства за наличието на максимална яснота по отношение на изследвания проблем и на етапите, по които се стига до пълноценното му изясняване, постижими едва след дълъг процес на внимателно и усърдно обмисляне на предприетото научно начинание. </w:t>
      </w:r>
    </w:p>
    <w:p w:rsidR="00F55038" w:rsidRDefault="00F55038" w:rsidP="00F5503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Уводът обяснява и аргументира избора на темата, а първата глава, която до голяма степен също функционира като въведение, съдържа критически преглед на изследванията върху Емпсън, извежда доминиращите виждания за характера на поезията му и систематизира наличните</w:t>
      </w:r>
      <w:r w:rsidR="00E92F78">
        <w:rPr>
          <w:rFonts w:ascii="Times New Roman" w:hAnsi="Times New Roman" w:cs="Times New Roman"/>
          <w:sz w:val="24"/>
          <w:szCs w:val="24"/>
        </w:rPr>
        <w:t>, по-скоро частични и несистемни</w:t>
      </w:r>
      <w:r>
        <w:rPr>
          <w:rFonts w:ascii="Times New Roman" w:hAnsi="Times New Roman" w:cs="Times New Roman"/>
          <w:sz w:val="24"/>
          <w:szCs w:val="24"/>
        </w:rPr>
        <w:t xml:space="preserve"> наблюдения върху обяснителните бележки към различните му стихотворения, а също така обосновава решението въпросните  бележки на бъдат анализирани в режим на съпоставителност с авторските бележки на Т. С. Елиът към поемата му „Пустата земя“.</w:t>
      </w:r>
      <w:r>
        <w:rPr>
          <w:rFonts w:ascii="Times New Roman" w:hAnsi="Times New Roman" w:cs="Times New Roman"/>
          <w:i/>
          <w:sz w:val="24"/>
          <w:szCs w:val="24"/>
        </w:rPr>
        <w:t xml:space="preserve"> </w:t>
      </w:r>
      <w:r>
        <w:rPr>
          <w:rFonts w:ascii="Times New Roman" w:hAnsi="Times New Roman" w:cs="Times New Roman"/>
          <w:sz w:val="24"/>
          <w:szCs w:val="24"/>
        </w:rPr>
        <w:t xml:space="preserve"> В същата част са представени и теоретичните и методологическите опори на изследването. Тук се проявява превъзходната подготвеност на Мария Димитрова, която съчетава умело паратекстовия модел на Жерар Женет с  други изследвания върху паратекстовете, от които, въпреки че техен обект са бележките към проза, фикционална или нефикционална, тя успява да изведе постановки, които да оползотвори на собственото си изследване, модифицирайки ги така, че да станат приложими към занимаващите я авторски бележки към поезия. Ориентацията основно към модела на Женет, с неговата донякъде саморазбираща се уместност,  обезпечава следващата  щастлива възможност за дисертацията, тъй като в неговото </w:t>
      </w:r>
      <w:r>
        <w:rPr>
          <w:rFonts w:ascii="Times New Roman" w:hAnsi="Times New Roman" w:cs="Times New Roman"/>
          <w:sz w:val="24"/>
          <w:szCs w:val="24"/>
        </w:rPr>
        <w:lastRenderedPageBreak/>
        <w:t xml:space="preserve">интегрално изследване на паратекстовете тъкмо авторските бележки към стихотворни текстове се оказват слабо звено, така че дисертантката се залавя с амбициозната задача да разшири, доразвие и прецизира изходния модел, набавяйки по този начин допълнителна цел на дисертацията си.  </w:t>
      </w:r>
    </w:p>
    <w:p w:rsidR="00F55038" w:rsidRDefault="00F55038" w:rsidP="00F5503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Във втора глава е представена цялостната автоанотационна програма на Емпсън, изведена от различните му обяснителни бележки, предисловия, писма и други текстове. Трета глава се съсредоточава върху анализа на автоанотационната практика на Емпсън, за да бъдат изведени водещите й характеристики – съотношението между анотирани и неанотирани текстове и типовете информация, обезпечавана  от бележките. Предлагат се задълбочени наблюдения върху няколко конкретни казуса на несъвпадаща съотносимост между бележки и стихотворения. Основна задача на тази глава е оценката за степента на съответствие между програмата за автоанотиране и самите автоанотационни практики. Формулирана е и значимата теза, че в автоанотационната практика на Емпсън се проявяват същностни специфики от неговата поетическа идиосинкразия.   </w:t>
      </w:r>
    </w:p>
    <w:p w:rsidR="004E5EE9" w:rsidRDefault="00F55038" w:rsidP="00F5503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Четвъртата глава съдържа текстови анализ на обяснителните бележките с фокус върху стиловите и структурните им характеристика, както и върху спецификата на комуникационната ситуация и на читателската реакция, породени от тях, осмислени приоритетно в светлината на проблема за властта и контрола, присвоени на авторовата инстанция. В пряка връзка с изводите, направени до този момент, се преминава към следващата, пета</w:t>
      </w:r>
      <w:r>
        <w:rPr>
          <w:rFonts w:ascii="Times New Roman" w:hAnsi="Times New Roman" w:cs="Times New Roman"/>
          <w:sz w:val="28"/>
          <w:szCs w:val="28"/>
        </w:rPr>
        <w:t xml:space="preserve"> </w:t>
      </w:r>
      <w:r>
        <w:rPr>
          <w:rFonts w:ascii="Times New Roman" w:hAnsi="Times New Roman" w:cs="Times New Roman"/>
          <w:sz w:val="24"/>
          <w:szCs w:val="24"/>
        </w:rPr>
        <w:t>глава</w:t>
      </w:r>
      <w:r>
        <w:rPr>
          <w:rFonts w:ascii="Times New Roman" w:hAnsi="Times New Roman" w:cs="Times New Roman"/>
          <w:sz w:val="28"/>
          <w:szCs w:val="28"/>
        </w:rPr>
        <w:t xml:space="preserve">, </w:t>
      </w:r>
      <w:r>
        <w:rPr>
          <w:rFonts w:ascii="Times New Roman" w:hAnsi="Times New Roman" w:cs="Times New Roman"/>
          <w:sz w:val="24"/>
          <w:szCs w:val="24"/>
        </w:rPr>
        <w:t xml:space="preserve">съсредоточена върху метатекстуалните аспекти на бележките и осъществена като анализ на </w:t>
      </w:r>
      <w:r w:rsidR="00E92F78">
        <w:rPr>
          <w:rFonts w:ascii="Times New Roman" w:hAnsi="Times New Roman" w:cs="Times New Roman"/>
          <w:sz w:val="24"/>
          <w:szCs w:val="24"/>
        </w:rPr>
        <w:t>характер</w:t>
      </w:r>
      <w:r>
        <w:rPr>
          <w:rFonts w:ascii="Times New Roman" w:hAnsi="Times New Roman" w:cs="Times New Roman"/>
          <w:sz w:val="24"/>
          <w:szCs w:val="24"/>
        </w:rPr>
        <w:t xml:space="preserve">ната </w:t>
      </w:r>
      <w:r w:rsidR="00E92F78">
        <w:rPr>
          <w:rFonts w:ascii="Times New Roman" w:hAnsi="Times New Roman" w:cs="Times New Roman"/>
          <w:sz w:val="24"/>
          <w:szCs w:val="24"/>
        </w:rPr>
        <w:t>им</w:t>
      </w:r>
      <w:r>
        <w:rPr>
          <w:rFonts w:ascii="Times New Roman" w:hAnsi="Times New Roman" w:cs="Times New Roman"/>
          <w:sz w:val="24"/>
          <w:szCs w:val="24"/>
        </w:rPr>
        <w:t xml:space="preserve"> реторика и конструираната чрез нея властова фигура на автора. </w:t>
      </w:r>
    </w:p>
    <w:p w:rsidR="00F55038" w:rsidRDefault="00F55038" w:rsidP="00F55038">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Заключението систематизира направените в дисертацията изводи относно автоанотационната практика на Емпсън и конспектира собствените съображения на докторантката за ревизия и допълване на паратекстуалния модел на Женет, изведени в хода на прилагането му върху изследвания материал.  </w:t>
      </w: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Основната част от дисертацията представя внимателното, прецизно оглеждане на всеки значим момент от обяснителните бележки, при което определяща е стратегията на последователното полагане на обекта на анализ в различни </w:t>
      </w:r>
      <w:r>
        <w:rPr>
          <w:rFonts w:ascii="Times New Roman" w:eastAsia="Times New Roman" w:hAnsi="Times New Roman" w:cs="Times New Roman"/>
          <w:sz w:val="24"/>
          <w:szCs w:val="24"/>
        </w:rPr>
        <w:lastRenderedPageBreak/>
        <w:t xml:space="preserve">проясняващи контексти. В съответствие с тази стратегия на разноаспектна контекстуализация отделната бележка бива осмислена не просто в естествената и незаобиколима съпоставка с конкретния поетически текст, за който са предназначени съдържащите се в нея пояснения и типа „поетическа неяснота“, която са призвани да компенсират, но и – с трудноовладяема центробежност – едновременно и в собствената им физиономичност като стилистика и смислова структура, и в светлината на по-общите тенденции, характерни за поезията на Емпсън, идентифицирани като „диалектически“ и „диалогични“, а също и в съответствие с разбирането на Емпсън за съвременната му поезия и по-общите му теоретически постановки, но същевременно и в перспективата на предходни аналогични практики на себепояснителност със специален фокус върху съпоставителния им анализ с бележките на Елиът към „Пустата земя“. </w:t>
      </w:r>
    </w:p>
    <w:p w:rsidR="00DC6EC4"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тази посока се проявяват някои от най-важните достойнства на докторантката – едновременно всеобхватното и детайлно, научно задълбочено познаване на изследвания автор, стабилната й теоретическа подготовка, обезпечеността на собствените й търсения с надеждно прощудираната критическа литература върху творчеството на Емпсън, но и собствените й забележителни аналитична чувствителност</w:t>
      </w:r>
      <w:r w:rsidR="00E92F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проницателност и прецизност на артикулациите. Между най-силните моменти от дисертацията са фините наблюдения върху стилистичната нееднородност  на бележките, стигаща до степента на радикално разноречие, при което те говорят едновременно на два несъвместими езика – квалифицирани като „небрежно разговорен“ и „отличаващ се с квази-поетична компресия“, а също и разбирането за тяхната функционална нееднозначност, проявена в паралелно осъществяващи се при тях обяснителна ефективност  и  вторична проблематизация на поетическия текст, която всъщност отвежда към идеята за своеобразно автогенериране на необходимостта от следващи анотации.  </w:t>
      </w: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Забележителен е усетът, с който са идентифицирани специфичните употреби на паракекстуалната стратегиия на автокритика и приплъзването им към реториката, настроена към традиционния топос на </w:t>
      </w:r>
      <w:r w:rsidR="002C218F">
        <w:rPr>
          <w:rFonts w:ascii="Times New Roman" w:eastAsia="Times New Roman" w:hAnsi="Times New Roman" w:cs="Times New Roman"/>
          <w:sz w:val="24"/>
          <w:szCs w:val="24"/>
        </w:rPr>
        <w:t>скромността</w:t>
      </w:r>
      <w:r>
        <w:rPr>
          <w:rFonts w:ascii="Times New Roman" w:eastAsia="Times New Roman" w:hAnsi="Times New Roman" w:cs="Times New Roman"/>
          <w:sz w:val="24"/>
          <w:szCs w:val="24"/>
        </w:rPr>
        <w:t xml:space="preserve">. Пак към най-добрите постижения на труда могат да бъдат прибавени убедително аргументираните и вторично легитимирани от собствената им резултатност великолепни съпоставителни </w:t>
      </w:r>
      <w:r>
        <w:rPr>
          <w:rFonts w:ascii="Times New Roman" w:eastAsia="Times New Roman" w:hAnsi="Times New Roman" w:cs="Times New Roman"/>
          <w:sz w:val="24"/>
          <w:szCs w:val="24"/>
        </w:rPr>
        <w:lastRenderedPageBreak/>
        <w:t xml:space="preserve">аналитични процедури, с  помощта на които се извежда сложната, амбивалентна съотносимост между автообяснителните бележки към стихотворенията на Емпсън и тези на Елиът към „Пустата земя“. </w:t>
      </w:r>
      <w:r w:rsidR="002C218F">
        <w:rPr>
          <w:rFonts w:ascii="Times New Roman" w:eastAsia="Times New Roman" w:hAnsi="Times New Roman" w:cs="Times New Roman"/>
          <w:sz w:val="24"/>
          <w:szCs w:val="24"/>
        </w:rPr>
        <w:t xml:space="preserve">Може без преувеличение да се каже, че работата по бележките на Елиът, която е подготвила платформата за провежданите съпоставки, има стойността на самостоятелно изследване, изводите от които са важни и запазват валидността си и извън контекста на дисертацията. Особено ценен момент в тях е </w:t>
      </w:r>
      <w:r w:rsidR="00AF0125">
        <w:rPr>
          <w:rFonts w:ascii="Times New Roman" w:eastAsia="Times New Roman" w:hAnsi="Times New Roman" w:cs="Times New Roman"/>
          <w:sz w:val="24"/>
          <w:szCs w:val="24"/>
        </w:rPr>
        <w:t>проблематизир</w:t>
      </w:r>
      <w:r w:rsidR="002C218F">
        <w:rPr>
          <w:rFonts w:ascii="Times New Roman" w:eastAsia="Times New Roman" w:hAnsi="Times New Roman" w:cs="Times New Roman"/>
          <w:sz w:val="24"/>
          <w:szCs w:val="24"/>
        </w:rPr>
        <w:t xml:space="preserve">ането </w:t>
      </w:r>
      <w:r w:rsidR="00AF0125">
        <w:rPr>
          <w:rFonts w:ascii="Times New Roman" w:eastAsia="Times New Roman" w:hAnsi="Times New Roman" w:cs="Times New Roman"/>
          <w:sz w:val="24"/>
          <w:szCs w:val="24"/>
        </w:rPr>
        <w:t xml:space="preserve">на </w:t>
      </w:r>
      <w:r w:rsidR="002C218F">
        <w:rPr>
          <w:rFonts w:ascii="Times New Roman" w:eastAsia="Times New Roman" w:hAnsi="Times New Roman" w:cs="Times New Roman"/>
          <w:sz w:val="24"/>
          <w:szCs w:val="24"/>
        </w:rPr>
        <w:t xml:space="preserve"> </w:t>
      </w:r>
      <w:r w:rsidR="00AF0125">
        <w:rPr>
          <w:rFonts w:ascii="Times New Roman" w:eastAsia="Times New Roman" w:hAnsi="Times New Roman" w:cs="Times New Roman"/>
          <w:sz w:val="24"/>
          <w:szCs w:val="24"/>
        </w:rPr>
        <w:t xml:space="preserve">негативната </w:t>
      </w:r>
      <w:r w:rsidR="002C218F">
        <w:rPr>
          <w:rFonts w:ascii="Times New Roman" w:eastAsia="Times New Roman" w:hAnsi="Times New Roman" w:cs="Times New Roman"/>
          <w:sz w:val="24"/>
          <w:szCs w:val="24"/>
        </w:rPr>
        <w:t>о</w:t>
      </w:r>
      <w:r w:rsidR="00AF0125">
        <w:rPr>
          <w:rFonts w:ascii="Times New Roman" w:eastAsia="Times New Roman" w:hAnsi="Times New Roman" w:cs="Times New Roman"/>
          <w:sz w:val="24"/>
          <w:szCs w:val="24"/>
        </w:rPr>
        <w:t>тношение</w:t>
      </w:r>
      <w:r w:rsidR="002C218F">
        <w:rPr>
          <w:rFonts w:ascii="Times New Roman" w:eastAsia="Times New Roman" w:hAnsi="Times New Roman" w:cs="Times New Roman"/>
          <w:sz w:val="24"/>
          <w:szCs w:val="24"/>
        </w:rPr>
        <w:t xml:space="preserve"> на Емпсън </w:t>
      </w:r>
      <w:r w:rsidR="00AF0125">
        <w:rPr>
          <w:rFonts w:ascii="Times New Roman" w:eastAsia="Times New Roman" w:hAnsi="Times New Roman" w:cs="Times New Roman"/>
          <w:sz w:val="24"/>
          <w:szCs w:val="24"/>
        </w:rPr>
        <w:t>към</w:t>
      </w:r>
      <w:r w:rsidR="002C218F">
        <w:rPr>
          <w:rFonts w:ascii="Times New Roman" w:eastAsia="Times New Roman" w:hAnsi="Times New Roman" w:cs="Times New Roman"/>
          <w:sz w:val="24"/>
          <w:szCs w:val="24"/>
        </w:rPr>
        <w:t xml:space="preserve"> бележките на Елиът </w:t>
      </w:r>
      <w:r w:rsidR="00AF0125">
        <w:rPr>
          <w:rFonts w:ascii="Times New Roman" w:eastAsia="Times New Roman" w:hAnsi="Times New Roman" w:cs="Times New Roman"/>
          <w:sz w:val="24"/>
          <w:szCs w:val="24"/>
        </w:rPr>
        <w:t xml:space="preserve">и извеждането на собствена, </w:t>
      </w:r>
      <w:r w:rsidR="00DC6EC4">
        <w:rPr>
          <w:rFonts w:ascii="Times New Roman" w:eastAsia="Times New Roman" w:hAnsi="Times New Roman" w:cs="Times New Roman"/>
          <w:sz w:val="24"/>
          <w:szCs w:val="24"/>
        </w:rPr>
        <w:t xml:space="preserve">независима, </w:t>
      </w:r>
      <w:r w:rsidR="00AF0125">
        <w:rPr>
          <w:rFonts w:ascii="Times New Roman" w:eastAsia="Times New Roman" w:hAnsi="Times New Roman" w:cs="Times New Roman"/>
          <w:sz w:val="24"/>
          <w:szCs w:val="24"/>
        </w:rPr>
        <w:t>солидно аргументирана и максимално прецизирана оценка.</w:t>
      </w:r>
      <w:r w:rsidR="002C218F">
        <w:rPr>
          <w:rFonts w:ascii="Times New Roman" w:eastAsia="Times New Roman" w:hAnsi="Times New Roman" w:cs="Times New Roman"/>
          <w:sz w:val="24"/>
          <w:szCs w:val="24"/>
        </w:rPr>
        <w:t xml:space="preserve"> </w:t>
      </w:r>
      <w:r w:rsidR="00AF0125">
        <w:rPr>
          <w:rFonts w:ascii="Times New Roman" w:eastAsia="Times New Roman" w:hAnsi="Times New Roman" w:cs="Times New Roman"/>
          <w:sz w:val="24"/>
          <w:szCs w:val="24"/>
        </w:rPr>
        <w:t>Ако в тази част, която демонстрира по най-убедителен начин аналитичните похватности на Мария Димитрова, може да се открие някаква недонаправеност, тя е в само единични моменти, когато докторантката е преценила конкретния казус като приключен – например, когато твърди, че е напълно възможно небрежната неопределеност</w:t>
      </w:r>
      <w:r w:rsidR="00AF0125">
        <w:rPr>
          <w:rFonts w:ascii="Times New Roman" w:eastAsia="Times New Roman" w:hAnsi="Times New Roman" w:cs="Times New Roman"/>
          <w:sz w:val="24"/>
          <w:szCs w:val="24"/>
        </w:rPr>
        <w:tab/>
        <w:t xml:space="preserve"> с</w:t>
      </w:r>
      <w:r w:rsidR="00DC6EC4">
        <w:rPr>
          <w:rFonts w:ascii="Times New Roman" w:eastAsia="Times New Roman" w:hAnsi="Times New Roman" w:cs="Times New Roman"/>
          <w:sz w:val="24"/>
          <w:szCs w:val="24"/>
        </w:rPr>
        <w:t xml:space="preserve"> </w:t>
      </w:r>
      <w:r w:rsidR="00AF0125">
        <w:rPr>
          <w:rFonts w:ascii="Times New Roman" w:eastAsia="Times New Roman" w:hAnsi="Times New Roman" w:cs="Times New Roman"/>
          <w:sz w:val="24"/>
          <w:szCs w:val="24"/>
        </w:rPr>
        <w:t>която</w:t>
      </w:r>
      <w:r w:rsidR="00DC6EC4">
        <w:rPr>
          <w:rFonts w:ascii="Times New Roman" w:eastAsia="Times New Roman" w:hAnsi="Times New Roman" w:cs="Times New Roman"/>
          <w:sz w:val="24"/>
          <w:szCs w:val="24"/>
        </w:rPr>
        <w:t xml:space="preserve"> </w:t>
      </w:r>
      <w:r w:rsidR="00AF0125">
        <w:rPr>
          <w:rFonts w:ascii="Times New Roman" w:eastAsia="Times New Roman" w:hAnsi="Times New Roman" w:cs="Times New Roman"/>
          <w:sz w:val="24"/>
          <w:szCs w:val="24"/>
        </w:rPr>
        <w:t xml:space="preserve">Емпсън посочва източниците си в много от своите бележки, </w:t>
      </w:r>
      <w:r w:rsidR="0023098E">
        <w:rPr>
          <w:rFonts w:ascii="Times New Roman" w:eastAsia="Times New Roman" w:hAnsi="Times New Roman" w:cs="Times New Roman"/>
          <w:sz w:val="24"/>
          <w:szCs w:val="24"/>
        </w:rPr>
        <w:t>да представлява всъщност реторически жест, заимстван от Елиът</w:t>
      </w:r>
      <w:r w:rsidR="004E5EE9">
        <w:rPr>
          <w:rFonts w:ascii="Times New Roman" w:eastAsia="Times New Roman" w:hAnsi="Times New Roman" w:cs="Times New Roman"/>
          <w:sz w:val="24"/>
          <w:szCs w:val="24"/>
        </w:rPr>
        <w:t xml:space="preserve"> (сс. 151-152)</w:t>
      </w:r>
      <w:r w:rsidR="0023098E">
        <w:rPr>
          <w:rFonts w:ascii="Times New Roman" w:eastAsia="Times New Roman" w:hAnsi="Times New Roman" w:cs="Times New Roman"/>
          <w:sz w:val="24"/>
          <w:szCs w:val="24"/>
        </w:rPr>
        <w:t xml:space="preserve">, но предположението не е защитено с подкрепящ аргумент. Така е </w:t>
      </w:r>
      <w:r w:rsidR="00DC6EC4">
        <w:rPr>
          <w:rFonts w:ascii="Times New Roman" w:eastAsia="Times New Roman" w:hAnsi="Times New Roman" w:cs="Times New Roman"/>
          <w:sz w:val="24"/>
          <w:szCs w:val="24"/>
        </w:rPr>
        <w:t xml:space="preserve">и </w:t>
      </w:r>
      <w:r w:rsidR="0023098E">
        <w:rPr>
          <w:rFonts w:ascii="Times New Roman" w:eastAsia="Times New Roman" w:hAnsi="Times New Roman" w:cs="Times New Roman"/>
          <w:sz w:val="24"/>
          <w:szCs w:val="24"/>
        </w:rPr>
        <w:t xml:space="preserve">при интерпретацията на често използваната от поета фраза </w:t>
      </w:r>
      <w:bookmarkStart w:id="0" w:name="_Hlk480387755"/>
      <w:r w:rsidR="0023098E" w:rsidRPr="00DC6EC4">
        <w:rPr>
          <w:rFonts w:ascii="Times New Roman" w:eastAsia="Times New Roman" w:hAnsi="Times New Roman" w:cs="Times New Roman"/>
          <w:b/>
          <w:i/>
          <w:sz w:val="24"/>
          <w:szCs w:val="24"/>
          <w:lang w:val="en-US"/>
        </w:rPr>
        <w:t>of</w:t>
      </w:r>
      <w:r w:rsidR="0023098E" w:rsidRPr="00DC6EC4">
        <w:rPr>
          <w:rFonts w:ascii="Times New Roman" w:eastAsia="Times New Roman" w:hAnsi="Times New Roman" w:cs="Times New Roman"/>
          <w:b/>
          <w:i/>
          <w:sz w:val="24"/>
          <w:szCs w:val="24"/>
        </w:rPr>
        <w:t xml:space="preserve"> </w:t>
      </w:r>
      <w:r w:rsidR="0023098E" w:rsidRPr="00DC6EC4">
        <w:rPr>
          <w:rFonts w:ascii="Times New Roman" w:eastAsia="Times New Roman" w:hAnsi="Times New Roman" w:cs="Times New Roman"/>
          <w:b/>
          <w:i/>
          <w:sz w:val="24"/>
          <w:szCs w:val="24"/>
          <w:lang w:val="en-US"/>
        </w:rPr>
        <w:t>course</w:t>
      </w:r>
      <w:r w:rsidR="0023098E" w:rsidRPr="0023098E">
        <w:rPr>
          <w:rFonts w:ascii="Times New Roman" w:eastAsia="Times New Roman" w:hAnsi="Times New Roman" w:cs="Times New Roman"/>
          <w:sz w:val="24"/>
          <w:szCs w:val="24"/>
        </w:rPr>
        <w:t xml:space="preserve"> </w:t>
      </w:r>
      <w:bookmarkEnd w:id="0"/>
      <w:r w:rsidR="0023098E">
        <w:rPr>
          <w:rFonts w:ascii="Times New Roman" w:eastAsia="Times New Roman" w:hAnsi="Times New Roman" w:cs="Times New Roman"/>
          <w:sz w:val="24"/>
          <w:szCs w:val="24"/>
        </w:rPr>
        <w:t xml:space="preserve">в бележката, гласяща </w:t>
      </w:r>
      <w:r w:rsidR="0023098E" w:rsidRPr="0023098E">
        <w:rPr>
          <w:rFonts w:ascii="Times New Roman" w:eastAsia="Times New Roman" w:hAnsi="Times New Roman" w:cs="Times New Roman"/>
          <w:sz w:val="24"/>
          <w:szCs w:val="24"/>
        </w:rPr>
        <w:t>“</w:t>
      </w:r>
      <w:r w:rsidR="0023098E">
        <w:rPr>
          <w:rFonts w:ascii="Times New Roman" w:eastAsia="Times New Roman" w:hAnsi="Times New Roman" w:cs="Times New Roman"/>
          <w:sz w:val="24"/>
          <w:szCs w:val="24"/>
          <w:lang w:val="en-US"/>
        </w:rPr>
        <w:t>Noah</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of</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course</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has</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a</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reputation</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for</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drinking</w:t>
      </w:r>
      <w:r w:rsidR="0023098E">
        <w:rPr>
          <w:rFonts w:ascii="Times New Roman" w:eastAsia="Times New Roman" w:hAnsi="Times New Roman" w:cs="Times New Roman"/>
          <w:sz w:val="24"/>
          <w:szCs w:val="24"/>
        </w:rPr>
        <w:t>“</w:t>
      </w:r>
      <w:r w:rsidR="004E5EE9">
        <w:rPr>
          <w:rFonts w:ascii="Times New Roman" w:eastAsia="Times New Roman" w:hAnsi="Times New Roman" w:cs="Times New Roman"/>
          <w:sz w:val="24"/>
          <w:szCs w:val="24"/>
        </w:rPr>
        <w:t xml:space="preserve"> (с. 144)</w:t>
      </w:r>
      <w:r w:rsidR="0023098E">
        <w:rPr>
          <w:rFonts w:ascii="Times New Roman" w:eastAsia="Times New Roman" w:hAnsi="Times New Roman" w:cs="Times New Roman"/>
          <w:sz w:val="24"/>
          <w:szCs w:val="24"/>
        </w:rPr>
        <w:t xml:space="preserve">, която е разчетена еднозначно като подсказване за споделеност на знанията между автор и читател, при положение, че във въпросното  </w:t>
      </w:r>
      <w:r w:rsidR="00DC6EC4">
        <w:rPr>
          <w:rFonts w:ascii="Times New Roman" w:eastAsia="Times New Roman" w:hAnsi="Times New Roman" w:cs="Times New Roman"/>
          <w:sz w:val="24"/>
          <w:szCs w:val="24"/>
        </w:rPr>
        <w:t>„</w:t>
      </w:r>
      <w:r w:rsidR="0023098E">
        <w:rPr>
          <w:rFonts w:ascii="Times New Roman" w:eastAsia="Times New Roman" w:hAnsi="Times New Roman" w:cs="Times New Roman"/>
          <w:sz w:val="24"/>
          <w:szCs w:val="24"/>
          <w:lang w:val="en-US"/>
        </w:rPr>
        <w:t>of</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lang w:val="en-US"/>
        </w:rPr>
        <w:t>course</w:t>
      </w:r>
      <w:r w:rsidR="00DC6EC4">
        <w:rPr>
          <w:rFonts w:ascii="Times New Roman" w:eastAsia="Times New Roman" w:hAnsi="Times New Roman" w:cs="Times New Roman"/>
          <w:sz w:val="24"/>
          <w:szCs w:val="24"/>
        </w:rPr>
        <w:t>“</w:t>
      </w:r>
      <w:r w:rsidR="0023098E" w:rsidRPr="0023098E">
        <w:rPr>
          <w:rFonts w:ascii="Times New Roman" w:eastAsia="Times New Roman" w:hAnsi="Times New Roman" w:cs="Times New Roman"/>
          <w:sz w:val="24"/>
          <w:szCs w:val="24"/>
        </w:rPr>
        <w:t xml:space="preserve"> </w:t>
      </w:r>
      <w:r w:rsidR="0023098E">
        <w:rPr>
          <w:rFonts w:ascii="Times New Roman" w:eastAsia="Times New Roman" w:hAnsi="Times New Roman" w:cs="Times New Roman"/>
          <w:sz w:val="24"/>
          <w:szCs w:val="24"/>
        </w:rPr>
        <w:t>налице са достатъчно осезаеми допълнителни обертонове от регистъра на иронията.</w:t>
      </w:r>
    </w:p>
    <w:p w:rsidR="005865F3" w:rsidRPr="0023098E" w:rsidRDefault="005865F3"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Трудът има своята ясно изразена кулминация в Пета глава, в която е предложен </w:t>
      </w:r>
      <w:r w:rsidR="00C2683C">
        <w:rPr>
          <w:rFonts w:ascii="Times New Roman" w:eastAsia="Times New Roman" w:hAnsi="Times New Roman" w:cs="Times New Roman"/>
          <w:sz w:val="24"/>
          <w:szCs w:val="24"/>
        </w:rPr>
        <w:t xml:space="preserve">великолепен анализ на метатекстуалните аспекти на обяснителните бележки, изпълнен с </w:t>
      </w:r>
      <w:r>
        <w:rPr>
          <w:rFonts w:ascii="Times New Roman" w:eastAsia="Times New Roman" w:hAnsi="Times New Roman" w:cs="Times New Roman"/>
          <w:sz w:val="24"/>
          <w:szCs w:val="24"/>
        </w:rPr>
        <w:t>вещ</w:t>
      </w:r>
      <w:r w:rsidR="00C2683C">
        <w:rPr>
          <w:rFonts w:ascii="Times New Roman" w:eastAsia="Times New Roman" w:hAnsi="Times New Roman" w:cs="Times New Roman"/>
          <w:sz w:val="24"/>
          <w:szCs w:val="24"/>
        </w:rPr>
        <w:t>ина</w:t>
      </w:r>
      <w:r>
        <w:rPr>
          <w:rFonts w:ascii="Times New Roman" w:eastAsia="Times New Roman" w:hAnsi="Times New Roman" w:cs="Times New Roman"/>
          <w:sz w:val="24"/>
          <w:szCs w:val="24"/>
        </w:rPr>
        <w:t xml:space="preserve"> и </w:t>
      </w:r>
      <w:r w:rsidR="00C2683C">
        <w:rPr>
          <w:rFonts w:ascii="Times New Roman" w:eastAsia="Times New Roman" w:hAnsi="Times New Roman" w:cs="Times New Roman"/>
          <w:sz w:val="24"/>
          <w:szCs w:val="24"/>
        </w:rPr>
        <w:t xml:space="preserve">задълбоченост. Наблюденията върху властовата ефективност на автоанотационните практики,  </w:t>
      </w:r>
      <w:r w:rsidR="00D1413C">
        <w:rPr>
          <w:rFonts w:ascii="Times New Roman" w:eastAsia="Times New Roman" w:hAnsi="Times New Roman" w:cs="Times New Roman"/>
          <w:sz w:val="24"/>
          <w:szCs w:val="24"/>
        </w:rPr>
        <w:t xml:space="preserve">както и </w:t>
      </w:r>
      <w:r w:rsidR="00C2683C">
        <w:rPr>
          <w:rFonts w:ascii="Times New Roman" w:eastAsia="Times New Roman" w:hAnsi="Times New Roman" w:cs="Times New Roman"/>
          <w:sz w:val="24"/>
          <w:szCs w:val="24"/>
        </w:rPr>
        <w:t xml:space="preserve">разпознаването и идентификацията на специфичните стратегии на авторов контрол върху читателя или критика, </w:t>
      </w:r>
      <w:r w:rsidR="00D1413C">
        <w:rPr>
          <w:rFonts w:ascii="Times New Roman" w:eastAsia="Times New Roman" w:hAnsi="Times New Roman" w:cs="Times New Roman"/>
          <w:sz w:val="24"/>
          <w:szCs w:val="24"/>
        </w:rPr>
        <w:t>проведени в режим на системна контекстуализация – историческа (прецедентите с Ейбрахам Кули и Джордж Краб) и синхронна (литературните дебати от 30-те години на ХХ век с действащи лица Елиът и Лора Райдинг)</w:t>
      </w:r>
      <w:r w:rsidR="00DC6EC4">
        <w:rPr>
          <w:rFonts w:ascii="Times New Roman" w:eastAsia="Times New Roman" w:hAnsi="Times New Roman" w:cs="Times New Roman"/>
          <w:sz w:val="24"/>
          <w:szCs w:val="24"/>
        </w:rPr>
        <w:t>,</w:t>
      </w:r>
      <w:r w:rsidR="00D1413C">
        <w:rPr>
          <w:rFonts w:ascii="Times New Roman" w:eastAsia="Times New Roman" w:hAnsi="Times New Roman" w:cs="Times New Roman"/>
          <w:sz w:val="24"/>
          <w:szCs w:val="24"/>
        </w:rPr>
        <w:t xml:space="preserve"> са атестат за висок професионализъм, за увереност и овладяност на научното експериментиране.</w:t>
      </w: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 достойнство на труда е и високата степен на собствена авторефлексия, демонстрирана от докторантката. Всеки отделен ход в аргументационното развитие </w:t>
      </w:r>
      <w:r>
        <w:rPr>
          <w:rFonts w:ascii="Times New Roman" w:eastAsia="Times New Roman" w:hAnsi="Times New Roman" w:cs="Times New Roman"/>
          <w:sz w:val="24"/>
          <w:szCs w:val="24"/>
        </w:rPr>
        <w:lastRenderedPageBreak/>
        <w:t xml:space="preserve">говори за съвършена яснота относно цялостния проект и степента му на осъщественост до конкретния момент.  </w:t>
      </w:r>
      <w:r w:rsidR="00DC6EC4">
        <w:rPr>
          <w:rFonts w:ascii="Times New Roman" w:eastAsia="Times New Roman" w:hAnsi="Times New Roman" w:cs="Times New Roman"/>
          <w:sz w:val="24"/>
          <w:szCs w:val="24"/>
        </w:rPr>
        <w:t>З</w:t>
      </w:r>
      <w:r>
        <w:rPr>
          <w:rFonts w:ascii="Times New Roman" w:eastAsia="Times New Roman" w:hAnsi="Times New Roman" w:cs="Times New Roman"/>
          <w:sz w:val="24"/>
          <w:szCs w:val="24"/>
        </w:rPr>
        <w:t>авидна</w:t>
      </w:r>
      <w:r w:rsidR="00C34688">
        <w:rPr>
          <w:rFonts w:ascii="Times New Roman" w:eastAsia="Times New Roman" w:hAnsi="Times New Roman" w:cs="Times New Roman"/>
          <w:sz w:val="24"/>
          <w:szCs w:val="24"/>
        </w:rPr>
        <w:t>та</w:t>
      </w:r>
      <w:r>
        <w:rPr>
          <w:rFonts w:ascii="Times New Roman" w:eastAsia="Times New Roman" w:hAnsi="Times New Roman" w:cs="Times New Roman"/>
          <w:sz w:val="24"/>
          <w:szCs w:val="24"/>
        </w:rPr>
        <w:t xml:space="preserve"> способност </w:t>
      </w:r>
      <w:r w:rsidR="00C34688">
        <w:rPr>
          <w:rFonts w:ascii="Times New Roman" w:eastAsia="Times New Roman" w:hAnsi="Times New Roman" w:cs="Times New Roman"/>
          <w:sz w:val="24"/>
          <w:szCs w:val="24"/>
        </w:rPr>
        <w:t xml:space="preserve">на Мария Димитрова </w:t>
      </w:r>
      <w:r>
        <w:rPr>
          <w:rFonts w:ascii="Times New Roman" w:eastAsia="Times New Roman" w:hAnsi="Times New Roman" w:cs="Times New Roman"/>
          <w:sz w:val="24"/>
          <w:szCs w:val="24"/>
        </w:rPr>
        <w:t>з</w:t>
      </w:r>
      <w:r w:rsidR="00C3468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самооценка </w:t>
      </w:r>
      <w:r w:rsidR="00DC6EC4">
        <w:rPr>
          <w:rFonts w:ascii="Times New Roman" w:eastAsia="Times New Roman" w:hAnsi="Times New Roman" w:cs="Times New Roman"/>
          <w:sz w:val="24"/>
          <w:szCs w:val="24"/>
        </w:rPr>
        <w:t>се проявява</w:t>
      </w:r>
      <w:r>
        <w:rPr>
          <w:rFonts w:ascii="Times New Roman" w:eastAsia="Times New Roman" w:hAnsi="Times New Roman" w:cs="Times New Roman"/>
          <w:sz w:val="24"/>
          <w:szCs w:val="24"/>
        </w:rPr>
        <w:t xml:space="preserve"> и </w:t>
      </w:r>
      <w:r w:rsidR="00DC6EC4">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начин</w:t>
      </w:r>
      <w:r w:rsidR="00DC6EC4">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по който </w:t>
      </w:r>
      <w:r w:rsidR="00C34688">
        <w:rPr>
          <w:rFonts w:ascii="Times New Roman" w:eastAsia="Times New Roman" w:hAnsi="Times New Roman" w:cs="Times New Roman"/>
          <w:sz w:val="24"/>
          <w:szCs w:val="24"/>
        </w:rPr>
        <w:t xml:space="preserve">в автореферата </w:t>
      </w:r>
      <w:r>
        <w:rPr>
          <w:rFonts w:ascii="Times New Roman" w:eastAsia="Times New Roman" w:hAnsi="Times New Roman" w:cs="Times New Roman"/>
          <w:sz w:val="24"/>
          <w:szCs w:val="24"/>
        </w:rPr>
        <w:t>са изведени основните приносни моменти на дисертацията</w:t>
      </w:r>
      <w:r w:rsidR="00C34688">
        <w:rPr>
          <w:rFonts w:ascii="Times New Roman" w:eastAsia="Times New Roman" w:hAnsi="Times New Roman" w:cs="Times New Roman"/>
          <w:sz w:val="24"/>
          <w:szCs w:val="24"/>
        </w:rPr>
        <w:t xml:space="preserve"> – точно, убедително, пестеливо и същевременно изчерпателно</w:t>
      </w:r>
      <w:r>
        <w:rPr>
          <w:rFonts w:ascii="Times New Roman" w:eastAsia="Times New Roman" w:hAnsi="Times New Roman" w:cs="Times New Roman"/>
          <w:sz w:val="24"/>
          <w:szCs w:val="24"/>
        </w:rPr>
        <w:t>. Ако има нещо, което е останало неназовано</w:t>
      </w:r>
      <w:r w:rsidR="00C34688">
        <w:rPr>
          <w:rFonts w:ascii="Times New Roman" w:eastAsia="Times New Roman" w:hAnsi="Times New Roman" w:cs="Times New Roman"/>
          <w:sz w:val="24"/>
          <w:szCs w:val="24"/>
        </w:rPr>
        <w:t xml:space="preserve"> в тази иначе толкова коректна равносметка</w:t>
      </w:r>
      <w:r>
        <w:rPr>
          <w:rFonts w:ascii="Times New Roman" w:eastAsia="Times New Roman" w:hAnsi="Times New Roman" w:cs="Times New Roman"/>
          <w:sz w:val="24"/>
          <w:szCs w:val="24"/>
        </w:rPr>
        <w:t xml:space="preserve">, вероятно поради известно смущение, </w:t>
      </w:r>
      <w:r w:rsidR="00DC6EC4">
        <w:rPr>
          <w:rFonts w:ascii="Times New Roman" w:eastAsia="Times New Roman" w:hAnsi="Times New Roman" w:cs="Times New Roman"/>
          <w:sz w:val="24"/>
          <w:szCs w:val="24"/>
        </w:rPr>
        <w:t xml:space="preserve">то </w:t>
      </w:r>
      <w:r>
        <w:rPr>
          <w:rFonts w:ascii="Times New Roman" w:eastAsia="Times New Roman" w:hAnsi="Times New Roman" w:cs="Times New Roman"/>
          <w:sz w:val="24"/>
          <w:szCs w:val="24"/>
        </w:rPr>
        <w:t xml:space="preserve">е известният дисбаланс между приносите, съответни на темата, заявена в заглавието на дисертацията, и тези, отнасящи се до ревизията на паратекстуалния  модел на Женет, очевидно наклонен в услуга на вторите. Без какъвто и да е момент на </w:t>
      </w:r>
      <w:r w:rsidR="00DC6EC4">
        <w:rPr>
          <w:rFonts w:ascii="Times New Roman" w:eastAsia="Times New Roman" w:hAnsi="Times New Roman" w:cs="Times New Roman"/>
          <w:sz w:val="24"/>
          <w:szCs w:val="24"/>
        </w:rPr>
        <w:t>н</w:t>
      </w:r>
      <w:r w:rsidR="001664DE">
        <w:rPr>
          <w:rFonts w:ascii="Times New Roman" w:eastAsia="Times New Roman" w:hAnsi="Times New Roman" w:cs="Times New Roman"/>
          <w:sz w:val="24"/>
          <w:szCs w:val="24"/>
        </w:rPr>
        <w:t>е</w:t>
      </w:r>
      <w:r w:rsidR="00DC6EC4">
        <w:rPr>
          <w:rFonts w:ascii="Times New Roman" w:eastAsia="Times New Roman" w:hAnsi="Times New Roman" w:cs="Times New Roman"/>
          <w:sz w:val="24"/>
          <w:szCs w:val="24"/>
        </w:rPr>
        <w:t>съ</w:t>
      </w:r>
      <w:r w:rsidR="001664DE">
        <w:rPr>
          <w:rFonts w:ascii="Times New Roman" w:eastAsia="Times New Roman" w:hAnsi="Times New Roman" w:cs="Times New Roman"/>
          <w:sz w:val="24"/>
          <w:szCs w:val="24"/>
        </w:rPr>
        <w:t xml:space="preserve">гласие или </w:t>
      </w:r>
      <w:r>
        <w:rPr>
          <w:rFonts w:ascii="Times New Roman" w:eastAsia="Times New Roman" w:hAnsi="Times New Roman" w:cs="Times New Roman"/>
          <w:sz w:val="24"/>
          <w:szCs w:val="24"/>
        </w:rPr>
        <w:t xml:space="preserve">неодобрение, бих </w:t>
      </w:r>
      <w:r w:rsidR="001664DE">
        <w:rPr>
          <w:rFonts w:ascii="Times New Roman" w:eastAsia="Times New Roman" w:hAnsi="Times New Roman" w:cs="Times New Roman"/>
          <w:sz w:val="24"/>
          <w:szCs w:val="24"/>
        </w:rPr>
        <w:t>предложила едно по-различно виждане за</w:t>
      </w:r>
      <w:r>
        <w:rPr>
          <w:rFonts w:ascii="Times New Roman" w:eastAsia="Times New Roman" w:hAnsi="Times New Roman" w:cs="Times New Roman"/>
          <w:sz w:val="24"/>
          <w:szCs w:val="24"/>
        </w:rPr>
        <w:t xml:space="preserve"> </w:t>
      </w:r>
      <w:r w:rsidR="00DC6EC4">
        <w:rPr>
          <w:rFonts w:ascii="Times New Roman" w:eastAsia="Times New Roman" w:hAnsi="Times New Roman" w:cs="Times New Roman"/>
          <w:sz w:val="24"/>
          <w:szCs w:val="24"/>
        </w:rPr>
        <w:t xml:space="preserve">втора </w:t>
      </w:r>
      <w:r>
        <w:rPr>
          <w:rFonts w:ascii="Times New Roman" w:eastAsia="Times New Roman" w:hAnsi="Times New Roman" w:cs="Times New Roman"/>
          <w:sz w:val="24"/>
          <w:szCs w:val="24"/>
        </w:rPr>
        <w:t>основна цел на изследването именно в доразгръщането на този толкова авторитетен модел с помощта на конкретния казус</w:t>
      </w:r>
      <w:r w:rsidR="001664DE">
        <w:rPr>
          <w:rFonts w:ascii="Times New Roman" w:eastAsia="Times New Roman" w:hAnsi="Times New Roman" w:cs="Times New Roman"/>
          <w:sz w:val="24"/>
          <w:szCs w:val="24"/>
        </w:rPr>
        <w:t>, съдържащ се</w:t>
      </w:r>
      <w:r>
        <w:rPr>
          <w:rFonts w:ascii="Times New Roman" w:eastAsia="Times New Roman" w:hAnsi="Times New Roman" w:cs="Times New Roman"/>
          <w:sz w:val="24"/>
          <w:szCs w:val="24"/>
        </w:rPr>
        <w:t xml:space="preserve"> </w:t>
      </w:r>
      <w:r w:rsidR="001664D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обяснителните бележки на Емпсън към поетическите му творби. </w:t>
      </w:r>
      <w:r w:rsidR="001664DE">
        <w:rPr>
          <w:rFonts w:ascii="Times New Roman" w:eastAsia="Times New Roman" w:hAnsi="Times New Roman" w:cs="Times New Roman"/>
          <w:sz w:val="24"/>
          <w:szCs w:val="24"/>
        </w:rPr>
        <w:t xml:space="preserve">Но тогава дисертацията би попаднала вероятно в друго професионално направление. </w:t>
      </w:r>
    </w:p>
    <w:p w:rsidR="001664DE" w:rsidRDefault="001664DE"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Към кредитите на труда следва да се отбележи и добрата му публична представеност – направените до момента публикации по дисертационната тема са седем на брой</w:t>
      </w:r>
      <w:r w:rsidR="00DC6EC4">
        <w:rPr>
          <w:rFonts w:ascii="Times New Roman" w:eastAsia="Times New Roman" w:hAnsi="Times New Roman" w:cs="Times New Roman"/>
          <w:sz w:val="24"/>
          <w:szCs w:val="24"/>
        </w:rPr>
        <w:t>, представят значиштелна част от дисертацията</w:t>
      </w:r>
      <w:r>
        <w:rPr>
          <w:rFonts w:ascii="Times New Roman" w:eastAsia="Times New Roman" w:hAnsi="Times New Roman" w:cs="Times New Roman"/>
          <w:sz w:val="24"/>
          <w:szCs w:val="24"/>
        </w:rPr>
        <w:t xml:space="preserve"> и са отпечатани без изключение в престижни академични издания.</w:t>
      </w: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Доколкото една рецензия, по самото й предписание, би следвало да съдържа и критически бележки, ще обърна внимание на един не особено съществен недостатък от структурно-композиционен характер, който обаче е уместно да бъде отстранен при евентуална (много препоръчителна) цялостна публикация на труда като монографична книга, Хипотактичната конструкция на дисертацията, избрана от докторантката, е напълно съответна на своеобразието на изследвания проблем и има несъмненото достойнство да обезпечава възможно най-добрата логическа последователност, при която всяка част от текста подготвя понятийния апарат, съдържателните опори и аксиоматиката на следващата. Това решение, иначе неоспоримо като уместност, за съжаление предпоставя труднозаобиколимата клопка на известна повторителност, в която е попаднало изложението и в тази дисертация. С изключение на малко случаи, в които повторното позоваване на вече коментирани  </w:t>
      </w:r>
      <w:r>
        <w:rPr>
          <w:rFonts w:ascii="Times New Roman" w:eastAsia="Times New Roman" w:hAnsi="Times New Roman" w:cs="Times New Roman"/>
          <w:sz w:val="24"/>
          <w:szCs w:val="24"/>
        </w:rPr>
        <w:lastRenderedPageBreak/>
        <w:t xml:space="preserve">явления или използвани аргументи трудно би се поддало на отстраняване, като цяло справянето с въпросното несъвършенство е въпрос на не особено сложна редакция.   </w:t>
      </w:r>
    </w:p>
    <w:p w:rsidR="00F55038" w:rsidRDefault="00F55038" w:rsidP="00F5503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Отново в режима на незадължителна препоръчителност бих споменала </w:t>
      </w:r>
      <w:r w:rsidR="00DC6EC4">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известното си притеснение от определянето на двата основни модуса, чието съжителство в текстовото пространство поражда напрежението в бележките на Емпсън, като „каталог“ и „наратив“. Начинът, по който те са описани и характеризирани с. 193-194), дава достатъчно основание да разпознаем в тях паратактичния и синтагматичния модус.</w:t>
      </w:r>
    </w:p>
    <w:p w:rsidR="00F55038" w:rsidRDefault="00F55038" w:rsidP="00F55038">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 накрая, като обобщение ще преповтвърдя основните си констатации. Дисертационният труд на Мария Димитрова е солидно и оригинално научно начинание с несъмнено приносен характер. Изпълнено е с респектиращ професионализъм. Изследваният материал е анализиран системно, прецизно и с прони</w:t>
      </w:r>
      <w:r w:rsidR="0092354B">
        <w:rPr>
          <w:rFonts w:ascii="Times New Roman" w:eastAsia="Times New Roman" w:hAnsi="Times New Roman" w:cs="Times New Roman"/>
          <w:sz w:val="24"/>
          <w:szCs w:val="24"/>
          <w:lang w:val="ru-RU"/>
        </w:rPr>
        <w:t>кновение</w:t>
      </w:r>
      <w:r>
        <w:rPr>
          <w:rFonts w:ascii="Times New Roman" w:eastAsia="Times New Roman" w:hAnsi="Times New Roman" w:cs="Times New Roman"/>
          <w:sz w:val="24"/>
          <w:szCs w:val="24"/>
          <w:lang w:val="ru-RU"/>
        </w:rPr>
        <w:t xml:space="preserve">. Методологическият избор е съответен на изследваното явление, изходните теоретически постановки са не само задълбочено и творчески асимилирани, но и доразвити и обогатени – постижение, необичайно за докторска дисертация. Тезите са ясно и коректно </w:t>
      </w:r>
      <w:r w:rsidR="00DC6EC4">
        <w:rPr>
          <w:rFonts w:ascii="Times New Roman" w:eastAsia="Times New Roman" w:hAnsi="Times New Roman" w:cs="Times New Roman"/>
          <w:sz w:val="24"/>
          <w:szCs w:val="24"/>
          <w:lang w:val="ru-RU"/>
        </w:rPr>
        <w:t>формулира</w:t>
      </w:r>
      <w:r>
        <w:rPr>
          <w:rFonts w:ascii="Times New Roman" w:eastAsia="Times New Roman" w:hAnsi="Times New Roman" w:cs="Times New Roman"/>
          <w:sz w:val="24"/>
          <w:szCs w:val="24"/>
          <w:lang w:val="ru-RU"/>
        </w:rPr>
        <w:t xml:space="preserve">ни. Изводите са значими, в определящата си част те ревизират и решително разщиряват наличните мнения за обяснителните бележки към поетическите текстове на Емпсън, но също така, при това в още по-решаваща степен, предлагат доразвит и обогатен вариант на основни положения в паратекстологията на Женет. При осигуряване на надеждна публичност, дисертационният текст би се превърнал в незаобиколим източник за всяко следващо проучване на творчеството на Емпсън. </w:t>
      </w:r>
    </w:p>
    <w:p w:rsidR="00C34688" w:rsidRDefault="002520B3" w:rsidP="00F55038">
      <w:pPr>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eastAsia="bg-BG"/>
        </w:rPr>
        <w:lastRenderedPageBreak/>
        <w:drawing>
          <wp:inline distT="0" distB="0" distL="0" distR="0">
            <wp:extent cx="5615940" cy="2795478"/>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5940" cy="2795478"/>
                    </a:xfrm>
                    <a:prstGeom prst="rect">
                      <a:avLst/>
                    </a:prstGeom>
                    <a:noFill/>
                    <a:ln>
                      <a:noFill/>
                    </a:ln>
                  </pic:spPr>
                </pic:pic>
              </a:graphicData>
            </a:graphic>
          </wp:inline>
        </w:drawing>
      </w:r>
      <w:bookmarkStart w:id="1" w:name="_GoBack"/>
      <w:bookmarkEnd w:id="1"/>
    </w:p>
    <w:sectPr w:rsidR="00C34688" w:rsidSect="00E92F78">
      <w:pgSz w:w="11906" w:h="16838"/>
      <w:pgMar w:top="2325" w:right="1474" w:bottom="181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038"/>
    <w:rsid w:val="0001338A"/>
    <w:rsid w:val="000555F7"/>
    <w:rsid w:val="001664DE"/>
    <w:rsid w:val="0023098E"/>
    <w:rsid w:val="002520B3"/>
    <w:rsid w:val="002C218F"/>
    <w:rsid w:val="00407D7C"/>
    <w:rsid w:val="004E5EE9"/>
    <w:rsid w:val="005865F3"/>
    <w:rsid w:val="00740CBC"/>
    <w:rsid w:val="00883C1D"/>
    <w:rsid w:val="0092354B"/>
    <w:rsid w:val="00A13108"/>
    <w:rsid w:val="00AF0125"/>
    <w:rsid w:val="00C2683C"/>
    <w:rsid w:val="00C34688"/>
    <w:rsid w:val="00D1413C"/>
    <w:rsid w:val="00D519CA"/>
    <w:rsid w:val="00DC6EC4"/>
    <w:rsid w:val="00E92F78"/>
    <w:rsid w:val="00F5503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03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0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03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0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16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2154</Words>
  <Characters>12279</Characters>
  <Application>Microsoft Office Word</Application>
  <DocSecurity>0</DocSecurity>
  <Lines>102</Lines>
  <Paragraphs>28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sys</cp:lastModifiedBy>
  <cp:revision>2</cp:revision>
  <dcterms:created xsi:type="dcterms:W3CDTF">2017-04-24T09:58:00Z</dcterms:created>
  <dcterms:modified xsi:type="dcterms:W3CDTF">2017-04-24T09:58:00Z</dcterms:modified>
</cp:coreProperties>
</file>