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4"/>
        <w:gridCol w:w="4536"/>
        <w:gridCol w:w="4253"/>
      </w:tblGrid>
      <w:tr w:rsidR="00296D44" w:rsidRPr="00D46D82" w:rsidTr="009433FC">
        <w:trPr>
          <w:trHeight w:val="49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D46D82" w:rsidRDefault="00296D44" w:rsidP="0092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D46D82" w:rsidRDefault="00296D44" w:rsidP="0092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Описание на оборудването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D46D82" w:rsidRDefault="00296D44" w:rsidP="0092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296D44" w:rsidRPr="00D46D82" w:rsidRDefault="00296D44" w:rsidP="0092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</w:t>
            </w:r>
            <w:bookmarkStart w:id="0" w:name="_GoBack"/>
            <w:bookmarkEnd w:id="0"/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296D44" w:rsidRPr="00D46D82" w:rsidTr="009433FC">
        <w:trPr>
          <w:trHeight w:val="49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855659" w:rsidRDefault="00296D44" w:rsidP="009227D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D44" w:rsidRPr="00855659" w:rsidRDefault="00296D44" w:rsidP="009227D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noProof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Водна баня със следните характеристики</w:t>
            </w: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подходяща за работа с киселини;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аналогово управление;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защита на нагревателните елементи;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регулатор за нивото на температурата и водата;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 w:rsidR="009433F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брой</w:t>
            </w:r>
            <w:r w:rsidR="009433FC"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</w:t>
            </w: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гнезда - 8;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работно дълбочина - 100 мм;</w:t>
            </w: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 xml:space="preserve"> 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- Ø на гнездата – 110 мм;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 xml:space="preserve">- температурен обхват - 5˚С над стайната </w:t>
            </w: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lastRenderedPageBreak/>
              <w:t>до 100˚С;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размери W x D x H – 670 x 300 x 155 мм;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тегло (нето/бруто)   ~7,9 / 9,1кг</w:t>
            </w: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.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bg-BG" w:bidi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D46D82" w:rsidRDefault="00296D44" w:rsidP="0092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296D44" w:rsidRPr="00D46D82" w:rsidTr="009433FC">
        <w:trPr>
          <w:trHeight w:val="49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855659" w:rsidRDefault="00296D44" w:rsidP="009227D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6D44" w:rsidRPr="00855659" w:rsidRDefault="00296D44" w:rsidP="009227D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Пясъчна</w:t>
            </w:r>
            <w:r w:rsidR="0065178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баня</w:t>
            </w:r>
            <w:r w:rsidRPr="0085565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със следните характеристики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подходяща за работа с киселини;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-</w:t>
            </w: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размери W x D x H – 510 x 360 x 50 мм;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- температурен обхват - 50˚С - 350˚С;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- мощност – 2850 W;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- захранване – 230 V, 50-60 Hz;</w:t>
            </w:r>
          </w:p>
          <w:p w:rsidR="00296D44" w:rsidRPr="00855659" w:rsidRDefault="00296D44" w:rsidP="009227DE">
            <w:pPr>
              <w:widowControl w:val="0"/>
              <w:spacing w:after="0" w:line="30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тегло (нето/бруто)   ~19 кг</w:t>
            </w:r>
            <w:r w:rsidRPr="0085565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  <w:t>.</w:t>
            </w:r>
          </w:p>
          <w:p w:rsidR="00296D44" w:rsidRPr="00855659" w:rsidRDefault="00296D44" w:rsidP="009227DE">
            <w:pPr>
              <w:widowControl w:val="0"/>
              <w:spacing w:after="0" w:line="317" w:lineRule="exact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D46D82" w:rsidRDefault="00296D44" w:rsidP="0092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1C30E8" w:rsidRPr="00217DBB" w:rsidRDefault="001C30E8" w:rsidP="001C30E8">
      <w:pPr>
        <w:spacing w:after="120" w:line="276" w:lineRule="auto"/>
        <w:ind w:left="1134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P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4"/>
        <w:gridCol w:w="4678"/>
        <w:gridCol w:w="4111"/>
      </w:tblGrid>
      <w:tr w:rsidR="00296D44" w:rsidRPr="00D46D82" w:rsidTr="009433FC">
        <w:trPr>
          <w:trHeight w:val="49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D46D82" w:rsidRDefault="00296D44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D46D82" w:rsidRDefault="00296D44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Описание на оборудването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D46D82" w:rsidRDefault="00296D44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296D44" w:rsidRPr="00D46D82" w:rsidRDefault="00296D44" w:rsidP="00D4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296D44" w:rsidRPr="00D46D82" w:rsidTr="009433FC">
        <w:trPr>
          <w:trHeight w:val="49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855659" w:rsidRDefault="00296D44" w:rsidP="00296D44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855659" w:rsidRDefault="00296D44" w:rsidP="00296D44">
            <w:pPr>
              <w:spacing w:after="0" w:line="240" w:lineRule="auto"/>
              <w:rPr>
                <w:rFonts w:ascii="Times New Roman" w:eastAsia="Symbol" w:hAnsi="Times New Roman"/>
                <w:noProof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Symbol" w:hAnsi="Times New Roman"/>
                <w:noProof/>
                <w:sz w:val="24"/>
                <w:szCs w:val="24"/>
                <w:lang w:eastAsia="bg-BG"/>
              </w:rPr>
              <w:t>Комбиниран портативен водоустойчив уред за измерване на температура, рН, електропроводимост, общо разтворени соли н</w:t>
            </w:r>
            <w:r w:rsidR="005D247D">
              <w:rPr>
                <w:rFonts w:ascii="Times New Roman" w:eastAsia="Symbol" w:hAnsi="Times New Roman"/>
                <w:noProof/>
                <w:sz w:val="24"/>
                <w:szCs w:val="24"/>
                <w:lang w:eastAsia="bg-BG"/>
              </w:rPr>
              <w:t>а вода/течности с общ електрод.</w:t>
            </w:r>
          </w:p>
          <w:p w:rsidR="00296D44" w:rsidRPr="00855659" w:rsidRDefault="009433FC" w:rsidP="00296D44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1</w:t>
            </w:r>
            <w:r w:rsidR="00296D44"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.</w:t>
            </w:r>
            <w:r w:rsidR="00296D44"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 xml:space="preserve">рН 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обхват: 0,00-14,00 рН;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резолюция: 0,01 рН;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точност: ±0,01 рН;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калибрация: автоматична, в една или 2 точки със стандартни буфери;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2.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Conductivity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обхват: 0,00- 3999 µS/cm;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резолюция: 1 µS/cm;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точност: ± 2% F.S.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3.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TDS: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обхват: 0,00- 2000 ppm (mg/L);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резолюция: 1 ppm (mg/L);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точност: ±2% F.S.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4.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Temperature: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обхват: 0.0 to 60.0°C;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резолюция: 0.1°C;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-</w:t>
            </w: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ab/>
              <w:t>точност: ± 0.5°C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Температурна компенсация: pH: automatic; EC/TDS: automatic with β adjustable from 0.0 to 2.4% / °C;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EC/TDS калибрация: автоматична, едноточкова при: 1382 ppm (CONV=0.5), 1500 ppm(CONV=0.7), 1413 µS/cm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TDS Conversion Factor: 0.45 to 1.00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Среда: 0 to 50°C; RH max 100%.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85565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Включен електрод с кабел, чанта, батерии и инструкции на български език.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D46D82" w:rsidRDefault="00296D44" w:rsidP="002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296D44" w:rsidRPr="00D46D82" w:rsidTr="009433FC">
        <w:trPr>
          <w:trHeight w:val="49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855659" w:rsidRDefault="00296D44" w:rsidP="00296D44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855659" w:rsidRDefault="00296D44" w:rsidP="00296D44">
            <w:pPr>
              <w:spacing w:after="0" w:line="240" w:lineRule="auto"/>
              <w:rPr>
                <w:rFonts w:ascii="Times New Roman" w:eastAsia="Symbol" w:hAnsi="Times New Roman"/>
                <w:noProof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Symbol" w:hAnsi="Times New Roman"/>
                <w:noProof/>
                <w:sz w:val="24"/>
                <w:szCs w:val="24"/>
                <w:lang w:eastAsia="bg-BG"/>
              </w:rPr>
              <w:t>Аспирационен психрометър - Battery Operated Psychrometer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eastAsia="Symbol" w:hAnsi="Times New Roman"/>
                <w:noProof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Symbol" w:hAnsi="Times New Roman"/>
                <w:noProof/>
                <w:sz w:val="24"/>
                <w:szCs w:val="24"/>
                <w:lang w:eastAsia="bg-BG"/>
              </w:rPr>
              <w:t xml:space="preserve">обхват: -15 ° to 45°C, 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eastAsia="Symbol" w:hAnsi="Times New Roman"/>
                <w:noProof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Symbol" w:hAnsi="Times New Roman"/>
                <w:noProof/>
                <w:sz w:val="24"/>
                <w:szCs w:val="24"/>
                <w:lang w:eastAsia="bg-BG"/>
              </w:rPr>
              <w:t>точност ± 0.2°C</w:t>
            </w:r>
          </w:p>
          <w:p w:rsidR="00296D44" w:rsidRPr="00855659" w:rsidRDefault="00296D44" w:rsidP="00296D44">
            <w:pPr>
              <w:spacing w:after="0" w:line="240" w:lineRule="auto"/>
              <w:rPr>
                <w:rFonts w:ascii="Times New Roman" w:eastAsia="Calibri" w:hAnsi="Times New Roman"/>
                <w:noProof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D46D82" w:rsidRDefault="00296D44" w:rsidP="002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  <w:tr w:rsidR="00296D44" w:rsidRPr="00D46D82" w:rsidTr="009433FC">
        <w:trPr>
          <w:trHeight w:val="494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855659" w:rsidRDefault="00296D44" w:rsidP="00296D44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EC1C02" w:rsidRDefault="00296D44" w:rsidP="00296D44">
            <w:pPr>
              <w:spacing w:after="0"/>
              <w:rPr>
                <w:rFonts w:ascii="Calibri" w:eastAsia="Calibri" w:hAnsi="Calibri"/>
                <w:noProof/>
                <w:sz w:val="24"/>
                <w:szCs w:val="24"/>
                <w:lang w:eastAsia="zh-CN"/>
              </w:rPr>
            </w:pPr>
            <w:r w:rsidRPr="00EC1C02">
              <w:rPr>
                <w:rFonts w:ascii="Times New Roman" w:eastAsia="Symbol" w:hAnsi="Times New Roman"/>
                <w:noProof/>
                <w:sz w:val="24"/>
                <w:szCs w:val="24"/>
                <w:lang w:eastAsia="bg-BG"/>
              </w:rPr>
              <w:t xml:space="preserve">Психрометри (прашкови) - </w:t>
            </w:r>
            <w:r w:rsidRPr="00EC1C02">
              <w:rPr>
                <w:rFonts w:ascii="Times New Roman" w:hAnsi="Times New Roman"/>
                <w:bCs/>
                <w:noProof/>
                <w:sz w:val="24"/>
                <w:szCs w:val="24"/>
              </w:rPr>
              <w:t>Sling Psychrometer</w:t>
            </w:r>
            <w:r w:rsidRPr="00EC1C02">
              <w:rPr>
                <w:noProof/>
                <w:sz w:val="24"/>
                <w:szCs w:val="24"/>
              </w:rPr>
              <w:t xml:space="preserve"> </w:t>
            </w:r>
          </w:p>
          <w:p w:rsidR="00296D44" w:rsidRPr="00EC1C02" w:rsidRDefault="00296D44" w:rsidP="00296D44">
            <w:pPr>
              <w:spacing w:after="0" w:line="240" w:lineRule="auto"/>
              <w:rPr>
                <w:rFonts w:ascii="Times New Roman" w:eastAsia="Calibri" w:hAnsi="Times New Roman"/>
                <w:bCs/>
                <w:noProof/>
                <w:sz w:val="24"/>
                <w:szCs w:val="24"/>
                <w:lang w:eastAsia="zh-CN"/>
              </w:rPr>
            </w:pPr>
            <w:r w:rsidRPr="00EC1C02">
              <w:rPr>
                <w:rFonts w:ascii="Times New Roman" w:hAnsi="Times New Roman"/>
                <w:bCs/>
                <w:noProof/>
                <w:sz w:val="24"/>
                <w:szCs w:val="24"/>
              </w:rPr>
              <w:t>Обхват -5 to +50°C</w:t>
            </w:r>
          </w:p>
          <w:p w:rsidR="00296D44" w:rsidRDefault="00296D44" w:rsidP="00296D44">
            <w:pPr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C1C02">
              <w:rPr>
                <w:rFonts w:ascii="Times New Roman" w:hAnsi="Times New Roman"/>
                <w:bCs/>
                <w:noProof/>
                <w:sz w:val="24"/>
                <w:szCs w:val="24"/>
              </w:rPr>
              <w:t>точност ± 1°C (температура), ± 5 % (влажност)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.</w:t>
            </w:r>
          </w:p>
          <w:p w:rsidR="00296D44" w:rsidRPr="00EC1C02" w:rsidRDefault="00296D44" w:rsidP="00296D44">
            <w:pPr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D46D82" w:rsidRDefault="00296D44" w:rsidP="0029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</w:p>
        </w:tc>
      </w:tr>
    </w:tbl>
    <w:p w:rsidR="00850BF2" w:rsidRP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FA12B2" w:rsidRDefault="001C30E8" w:rsidP="00FD793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FD793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1C30E8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FD793B" w:rsidRDefault="00FD793B" w:rsidP="00FD793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FD793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296D4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96D44" w:rsidRDefault="00296D4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Водна баня</w:t>
            </w:r>
          </w:p>
          <w:p w:rsidR="00296D44" w:rsidRDefault="00296D44" w:rsidP="008C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296D44" w:rsidRPr="00943D00" w:rsidRDefault="00296D44" w:rsidP="00943D0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296D4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296D44" w:rsidRDefault="00296D44" w:rsidP="0029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Пясъчна баня</w:t>
            </w:r>
          </w:p>
          <w:p w:rsidR="00296D44" w:rsidRDefault="00296D44" w:rsidP="0029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296D44" w:rsidRDefault="00296D4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296D44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436563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29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Tr="005D247D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850BF2" w:rsidTr="005D247D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5D2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D24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 xml:space="preserve">Комбиниран портативен водоустойчив уред за измерване на температура, </w:t>
            </w:r>
            <w:proofErr w:type="spellStart"/>
            <w:r w:rsidRPr="005D24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рН</w:t>
            </w:r>
            <w:proofErr w:type="spellEnd"/>
            <w:r w:rsidRPr="005D24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 xml:space="preserve">, електропроводимост, общо разтворени соли на вода/течности с общ електрод </w:t>
            </w:r>
            <w:r w:rsidR="00850BF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850BF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850B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5D2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D247D" w:rsidTr="005D247D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47D" w:rsidRDefault="005D247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D24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Аспирационен</w:t>
            </w:r>
            <w:proofErr w:type="spellEnd"/>
            <w:r w:rsidRPr="005D24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D24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психрометър</w:t>
            </w:r>
            <w:proofErr w:type="spellEnd"/>
          </w:p>
          <w:p w:rsidR="005D247D" w:rsidRPr="005D247D" w:rsidRDefault="005D247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47D" w:rsidRPr="005D247D" w:rsidRDefault="005D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247D" w:rsidRDefault="005D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247D" w:rsidRDefault="005D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D247D" w:rsidTr="005D247D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47D" w:rsidRDefault="005D247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D24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Психрометри</w:t>
            </w:r>
            <w:proofErr w:type="spellEnd"/>
            <w:r w:rsidRPr="005D24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D24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прашкови</w:t>
            </w:r>
            <w:proofErr w:type="spellEnd"/>
            <w:r w:rsidRPr="005D247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5D247D" w:rsidRPr="005D247D" w:rsidRDefault="005D247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47D" w:rsidRDefault="005D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247D" w:rsidRDefault="005D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247D" w:rsidRDefault="005D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5D247D" w:rsidTr="005D247D">
        <w:trPr>
          <w:trHeight w:val="494"/>
        </w:trPr>
        <w:tc>
          <w:tcPr>
            <w:tcW w:w="7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47D" w:rsidRDefault="005D247D" w:rsidP="005D2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247D" w:rsidRDefault="005D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E9" w:rsidRDefault="004940E9" w:rsidP="001C30E8">
      <w:pPr>
        <w:spacing w:after="0" w:line="240" w:lineRule="auto"/>
      </w:pPr>
      <w:r>
        <w:separator/>
      </w:r>
    </w:p>
  </w:endnote>
  <w:endnote w:type="continuationSeparator" w:id="0">
    <w:p w:rsidR="004940E9" w:rsidRDefault="004940E9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E9" w:rsidRDefault="004940E9" w:rsidP="001C30E8">
      <w:pPr>
        <w:spacing w:after="0" w:line="240" w:lineRule="auto"/>
      </w:pPr>
      <w:r>
        <w:separator/>
      </w:r>
    </w:p>
  </w:footnote>
  <w:footnote w:type="continuationSeparator" w:id="0">
    <w:p w:rsidR="004940E9" w:rsidRDefault="004940E9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1C30E8" w:rsidRPr="0009121B" w:rsidRDefault="001C30E8" w:rsidP="001C30E8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D46D82" w:rsidRDefault="00D46D82" w:rsidP="00D46D82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FD793B" w:rsidRPr="00826E50" w:rsidRDefault="00FD793B" w:rsidP="00FD793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850BF2" w:rsidRPr="00535512" w:rsidRDefault="00850BF2" w:rsidP="00850BF2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64B89"/>
    <w:rsid w:val="0009121B"/>
    <w:rsid w:val="000A7C96"/>
    <w:rsid w:val="001C30E8"/>
    <w:rsid w:val="0020361E"/>
    <w:rsid w:val="00217DBB"/>
    <w:rsid w:val="00224B73"/>
    <w:rsid w:val="00273506"/>
    <w:rsid w:val="00296D44"/>
    <w:rsid w:val="004152CF"/>
    <w:rsid w:val="004940E9"/>
    <w:rsid w:val="00535512"/>
    <w:rsid w:val="005777B6"/>
    <w:rsid w:val="005D247D"/>
    <w:rsid w:val="00651787"/>
    <w:rsid w:val="00735C45"/>
    <w:rsid w:val="007A4C7B"/>
    <w:rsid w:val="00850BF2"/>
    <w:rsid w:val="008C312E"/>
    <w:rsid w:val="009433FC"/>
    <w:rsid w:val="00943D00"/>
    <w:rsid w:val="00965D8C"/>
    <w:rsid w:val="009664B8"/>
    <w:rsid w:val="00A21FC7"/>
    <w:rsid w:val="00A461EB"/>
    <w:rsid w:val="00B44F73"/>
    <w:rsid w:val="00CE59C9"/>
    <w:rsid w:val="00D46D82"/>
    <w:rsid w:val="00D930CD"/>
    <w:rsid w:val="00DE1367"/>
    <w:rsid w:val="00E249F3"/>
    <w:rsid w:val="00F5552D"/>
    <w:rsid w:val="00FA12B2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D1555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78A3-534C-4647-891A-B4F4E700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6</cp:revision>
  <cp:lastPrinted>2018-08-16T12:08:00Z</cp:lastPrinted>
  <dcterms:created xsi:type="dcterms:W3CDTF">2018-08-13T14:11:00Z</dcterms:created>
  <dcterms:modified xsi:type="dcterms:W3CDTF">2018-08-16T12:10:00Z</dcterms:modified>
</cp:coreProperties>
</file>