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CAD1B" w14:textId="77777777" w:rsidR="00DD1A1A" w:rsidRDefault="00DD1A1A" w:rsidP="00DD1A1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РЕЦЕНЗИЯ</w:t>
      </w:r>
    </w:p>
    <w:p w14:paraId="3C59CAB6" w14:textId="77777777" w:rsidR="00DD1A1A" w:rsidRDefault="00DD1A1A" w:rsidP="00DD1A1A">
      <w:pPr>
        <w:spacing w:line="360" w:lineRule="auto"/>
        <w:jc w:val="center"/>
        <w:rPr>
          <w:rFonts w:ascii="Arial" w:hAnsi="Arial" w:cs="Arial"/>
        </w:rPr>
      </w:pPr>
    </w:p>
    <w:p w14:paraId="5BC28327" w14:textId="77777777" w:rsidR="00DD1A1A" w:rsidRDefault="00DD1A1A" w:rsidP="00DD1A1A">
      <w:pPr>
        <w:spacing w:line="360" w:lineRule="auto"/>
        <w:jc w:val="center"/>
        <w:rPr>
          <w:rFonts w:ascii="Arial" w:hAnsi="Arial" w:cs="Arial"/>
        </w:rPr>
      </w:pPr>
    </w:p>
    <w:p w14:paraId="502E639B" w14:textId="77777777" w:rsidR="00DD1A1A" w:rsidRDefault="00DD1A1A" w:rsidP="00DD1A1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ОТНОСНО: Дисертационния труд на </w:t>
      </w:r>
      <w:r w:rsidRPr="00DD1A1A">
        <w:rPr>
          <w:rFonts w:ascii="Arial" w:hAnsi="Arial" w:cs="Arial"/>
          <w:u w:val="single"/>
        </w:rPr>
        <w:t>Денчо Стефанов Данчев</w:t>
      </w:r>
    </w:p>
    <w:p w14:paraId="1EB0157D" w14:textId="77777777" w:rsidR="00DD1A1A" w:rsidRDefault="00DD1A1A" w:rsidP="00DD1A1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Редовен докторант към катедра „Нова и съвременна история” </w:t>
      </w:r>
    </w:p>
    <w:p w14:paraId="643530A1" w14:textId="77777777" w:rsidR="00DD1A1A" w:rsidRDefault="00DD1A1A" w:rsidP="00DD1A1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в Историческия факултет на Софийски университет „Св. Климент Охридски”</w:t>
      </w:r>
    </w:p>
    <w:p w14:paraId="6797709F" w14:textId="77777777" w:rsidR="00DD1A1A" w:rsidRDefault="00DD1A1A" w:rsidP="00DD1A1A">
      <w:pPr>
        <w:spacing w:line="360" w:lineRule="auto"/>
        <w:jc w:val="center"/>
        <w:rPr>
          <w:rFonts w:ascii="Arial" w:hAnsi="Arial" w:cs="Arial"/>
        </w:rPr>
      </w:pPr>
    </w:p>
    <w:p w14:paraId="37C85F53" w14:textId="77777777" w:rsidR="00DD1A1A" w:rsidRDefault="00DD1A1A" w:rsidP="00DD1A1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тема  „</w:t>
      </w:r>
      <w:r w:rsidRPr="00DD1A1A">
        <w:rPr>
          <w:rFonts w:ascii="Arial" w:hAnsi="Arial" w:cs="Arial"/>
          <w:i/>
          <w:iCs/>
        </w:rPr>
        <w:t>НАТО и Средиземноморието 1949-1956 г</w:t>
      </w:r>
      <w:r>
        <w:rPr>
          <w:rFonts w:ascii="Arial" w:hAnsi="Arial" w:cs="Arial"/>
        </w:rPr>
        <w:t xml:space="preserve">” за придобиване на образователната и научна степен „доктор” в област на висше образование „Хуманитарни науки“, професионално направление 2.2. „История и археология“ </w:t>
      </w:r>
    </w:p>
    <w:p w14:paraId="1CFDCBA5" w14:textId="77777777" w:rsidR="00DD1A1A" w:rsidRDefault="00DD1A1A" w:rsidP="00DD1A1A">
      <w:pPr>
        <w:spacing w:line="360" w:lineRule="auto"/>
        <w:jc w:val="center"/>
        <w:rPr>
          <w:rFonts w:ascii="Arial" w:hAnsi="Arial" w:cs="Arial"/>
        </w:rPr>
      </w:pPr>
    </w:p>
    <w:p w14:paraId="4F7A4046" w14:textId="77777777" w:rsidR="00DD1A1A" w:rsidRDefault="00DD1A1A" w:rsidP="00DD1A1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д-р </w:t>
      </w:r>
      <w:r>
        <w:rPr>
          <w:rFonts w:ascii="Arial" w:hAnsi="Arial" w:cs="Arial"/>
          <w:u w:val="single"/>
        </w:rPr>
        <w:t>Йордан Ангелов Баев</w:t>
      </w:r>
      <w:r>
        <w:rPr>
          <w:rFonts w:ascii="Arial" w:hAnsi="Arial" w:cs="Arial"/>
        </w:rPr>
        <w:t xml:space="preserve"> – професор по нова и най-нова история</w:t>
      </w:r>
    </w:p>
    <w:p w14:paraId="20009446" w14:textId="77777777" w:rsidR="00DD1A1A" w:rsidRDefault="00DD1A1A" w:rsidP="00DD1A1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във Военна академия „Г. С. Раковски”, член на научно жури съгласно Заповед № 0038-688/09.12.2019 на Ректора на СУ „Св. Климент Охридски“</w:t>
      </w:r>
    </w:p>
    <w:p w14:paraId="514508E9" w14:textId="77777777" w:rsidR="00FC0302" w:rsidRDefault="00FC0302" w:rsidP="00FC0302">
      <w:pPr>
        <w:spacing w:line="360" w:lineRule="auto"/>
        <w:rPr>
          <w:rFonts w:ascii="Arial" w:hAnsi="Arial" w:cs="Arial"/>
        </w:rPr>
      </w:pPr>
    </w:p>
    <w:p w14:paraId="6073B76C" w14:textId="77777777" w:rsidR="00F7623D" w:rsidRDefault="00F7623D" w:rsidP="00F762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Докторантът Денчо Стефанов Данчев получава бакалавърска степен по история през 2012 г. и магистърска степен в програма „Кризи, конфликти и дипломация в световната политика“ в катедра „Нова и съвременна история“ на Историческия факултет при Софийския университет „Св. Климент Охридски“ през 2014 г. По линия на програма „Еразъм“ се обучава също така един семестър в Университета в Грьонинген, Кралство Нидерландия. В студентските си години участва в създаването на Клуб по съвременна история, а като докторант има участие с доклади в научни конференции. Няма данни за специализации или профилирани курсове в чужбина след завършване на висшето си образование.</w:t>
      </w:r>
    </w:p>
    <w:p w14:paraId="52508FD6" w14:textId="46E52986" w:rsidR="00F7623D" w:rsidRDefault="00F7623D" w:rsidP="00F762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Темата на дисертационния труд има безспорно актуално значение най-малко по две съществени причини. В българската историография досега създаването и историческото развитие на Северноатлантическия съюз е слабо разработено, въпреки че България повече от 15 години е член на Алианса и още седем години преди това е в процес на присъединяване към тази мирновременна военнополитическа организация. Нуждата от подобни комплексни или проблемни трудове за доктриналните схващания, функционирането, процесът на вземане на решения и реалната практическа политика на НАТО е очевидна, а задълбоченият критичен анализ на 70-годишната история на Съюза с </w:t>
      </w:r>
      <w:r>
        <w:rPr>
          <w:rFonts w:ascii="Arial" w:hAnsi="Arial" w:cs="Arial"/>
        </w:rPr>
        <w:lastRenderedPageBreak/>
        <w:t xml:space="preserve">извличане на съответните поуки е повече от необходим. На второ място, районът на Средиземноморието и разширения Близък изток през целия следвоенен период и до наши дни е тясно свързан с европейската сигурност като латентна кризисна периферия на Стария континент и критично геостратегическо пространство на сблъсък между водещите държави в променящите се модели на международните отношения. Обстановката в </w:t>
      </w:r>
      <w:r w:rsidR="00A331C4">
        <w:rPr>
          <w:rFonts w:ascii="Arial" w:hAnsi="Arial" w:cs="Arial"/>
        </w:rPr>
        <w:t>проучвания</w:t>
      </w:r>
      <w:r>
        <w:rPr>
          <w:rFonts w:ascii="Arial" w:hAnsi="Arial" w:cs="Arial"/>
        </w:rPr>
        <w:t xml:space="preserve"> регион представлява непосредствен рисков фактор и за националната сигурност на България, която се намира в непосредствена близост до тази кризисна зона.</w:t>
      </w:r>
    </w:p>
    <w:p w14:paraId="77AAEA44" w14:textId="77777777" w:rsidR="00F7623D" w:rsidRDefault="00F7623D" w:rsidP="00F7623D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  <w:t>Преди да премина към по-обстоен анализ на представения дисертационен труд бих искал да обърна внимание на едно специфично обстоятелство в процеса на неговото разработване. Имах възможност да се запозная с първоначалния вариант на този труд и бих могъл да го сравня със заключителния преработен вариант. За сравнително кратко време докторантът е успял да се съобрази с основните критични бележки и препоръки към предварителния вариант, да внесе значителни структурни промени, да проучи и въведе в научна употреба редица нови архивни документи с различен произход и да прецизира съдържателните елементи и изводите в своето изследване. Въпреки, че все още има какво да се желае относно редакцията и структурата на това монографично изследване, със своята работа през последните месеци Денчо Данчев</w:t>
      </w:r>
      <w:r w:rsidR="00563977">
        <w:rPr>
          <w:rFonts w:ascii="Arial" w:hAnsi="Arial" w:cs="Arial"/>
        </w:rPr>
        <w:t xml:space="preserve"> доказва че се е постарал да усвои някои базисни инструменти на научно-експертната методология в по-широк интердисциплинарен план </w:t>
      </w:r>
      <w:r w:rsidR="00563977">
        <w:rPr>
          <w:rFonts w:ascii="Arial" w:hAnsi="Arial" w:cs="Arial"/>
          <w:lang w:val="en-GB"/>
        </w:rPr>
        <w:t>(</w:t>
      </w:r>
      <w:r w:rsidR="00563977">
        <w:rPr>
          <w:rFonts w:ascii="Arial" w:hAnsi="Arial" w:cs="Arial"/>
        </w:rPr>
        <w:t xml:space="preserve">история, стратегия, </w:t>
      </w:r>
      <w:r w:rsidR="008812FD">
        <w:rPr>
          <w:rFonts w:ascii="Arial" w:hAnsi="Arial" w:cs="Arial"/>
        </w:rPr>
        <w:t>геополитика</w:t>
      </w:r>
      <w:r w:rsidR="00563977">
        <w:rPr>
          <w:rFonts w:ascii="Arial" w:hAnsi="Arial" w:cs="Arial"/>
          <w:lang w:val="en-GB"/>
        </w:rPr>
        <w:t>)</w:t>
      </w:r>
      <w:r w:rsidR="00563977">
        <w:rPr>
          <w:rFonts w:ascii="Arial" w:hAnsi="Arial" w:cs="Arial"/>
        </w:rPr>
        <w:t xml:space="preserve"> и се е опитал да представи свои интерпретации на изследваните проблеми въз основа на проучената научна литература.</w:t>
      </w:r>
      <w:r w:rsidR="008812FD">
        <w:rPr>
          <w:rFonts w:ascii="Arial" w:hAnsi="Arial" w:cs="Arial"/>
          <w:lang w:val="en-US"/>
        </w:rPr>
        <w:t xml:space="preserve"> </w:t>
      </w:r>
    </w:p>
    <w:p w14:paraId="72EA37A0" w14:textId="6C604F3B" w:rsidR="008812FD" w:rsidRDefault="008812FD" w:rsidP="00F762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Структурата на представеното изследване </w:t>
      </w:r>
      <w:r w:rsidR="0029654B">
        <w:rPr>
          <w:rFonts w:ascii="Arial" w:hAnsi="Arial" w:cs="Arial"/>
        </w:rPr>
        <w:t xml:space="preserve">с общ обем от 411 страници </w:t>
      </w:r>
      <w:r>
        <w:rPr>
          <w:rFonts w:ascii="Arial" w:hAnsi="Arial" w:cs="Arial"/>
        </w:rPr>
        <w:t xml:space="preserve">се отличава от обичайните модели на дисертационен труд като докторантът е предпочел да въведе увод, въведение и две основни глави, първата от които е със 16 параграфи, а втората се състои от 12 параграфи. Към всяка от двете глави е включено обобщение и съответни синтезирани изводи. </w:t>
      </w:r>
      <w:r w:rsidR="0029654B">
        <w:rPr>
          <w:rFonts w:ascii="Arial" w:hAnsi="Arial" w:cs="Arial"/>
        </w:rPr>
        <w:t xml:space="preserve">Хронологичният обхват на труда е логично обоснован и маркиран от две ключови събития – създаването на НАТО през април 1949 г. и обявяването на доктрината </w:t>
      </w:r>
      <w:r w:rsidR="001E044C">
        <w:rPr>
          <w:rFonts w:ascii="Arial" w:hAnsi="Arial" w:cs="Arial"/>
        </w:rPr>
        <w:t>„</w:t>
      </w:r>
      <w:r w:rsidR="0029654B">
        <w:rPr>
          <w:rFonts w:ascii="Arial" w:hAnsi="Arial" w:cs="Arial"/>
        </w:rPr>
        <w:t xml:space="preserve">Айзенхауер“ през януари 1957 г. Проблемно-тематичният обхват е многоаспектен, като авторът се опитва едновременно и паралелно да проучи и дискутира твърде голям брой отделни и свързани теми. Това неизбежно води до известно дефокусиране от </w:t>
      </w:r>
      <w:r w:rsidR="003932E5">
        <w:rPr>
          <w:rFonts w:ascii="Arial" w:hAnsi="Arial" w:cs="Arial"/>
        </w:rPr>
        <w:t xml:space="preserve">главните проблемни въпроси и фрагментирано представяне на съпътстващи </w:t>
      </w:r>
      <w:r w:rsidR="003932E5">
        <w:rPr>
          <w:rFonts w:ascii="Arial" w:hAnsi="Arial" w:cs="Arial"/>
        </w:rPr>
        <w:lastRenderedPageBreak/>
        <w:t>основната тема проблеми. Освен това, липсата на достатъчно информация за постиженията на националн</w:t>
      </w:r>
      <w:r w:rsidR="00A331C4">
        <w:rPr>
          <w:rFonts w:ascii="Arial" w:hAnsi="Arial" w:cs="Arial"/>
        </w:rPr>
        <w:t>ите</w:t>
      </w:r>
      <w:r w:rsidR="003932E5">
        <w:rPr>
          <w:rFonts w:ascii="Arial" w:hAnsi="Arial" w:cs="Arial"/>
        </w:rPr>
        <w:t xml:space="preserve"> историографи</w:t>
      </w:r>
      <w:r w:rsidR="00A331C4">
        <w:rPr>
          <w:rFonts w:ascii="Arial" w:hAnsi="Arial" w:cs="Arial"/>
        </w:rPr>
        <w:t>и</w:t>
      </w:r>
      <w:r w:rsidR="003932E5">
        <w:rPr>
          <w:rFonts w:ascii="Arial" w:hAnsi="Arial" w:cs="Arial"/>
        </w:rPr>
        <w:t xml:space="preserve"> в редица разглеждани в изложението държави в по-общото геостратегическо пространство на Средиземноморието и Близкия изток</w:t>
      </w:r>
      <w:r w:rsidR="00855BCF">
        <w:rPr>
          <w:rFonts w:ascii="Arial" w:hAnsi="Arial" w:cs="Arial"/>
        </w:rPr>
        <w:t>, включително и в съпътстващите райони на Балканите и Северна Африка,</w:t>
      </w:r>
      <w:r w:rsidR="003932E5">
        <w:rPr>
          <w:rFonts w:ascii="Arial" w:hAnsi="Arial" w:cs="Arial"/>
        </w:rPr>
        <w:t xml:space="preserve"> намалява приносната стойност на направените изводи.</w:t>
      </w:r>
      <w:r w:rsidR="00855BCF">
        <w:rPr>
          <w:rFonts w:ascii="Arial" w:hAnsi="Arial" w:cs="Arial"/>
        </w:rPr>
        <w:t xml:space="preserve"> Страни като Либия и Испания, например, биха могли само да бъдат споменати за този исторически период без да се разглеждат отделно.</w:t>
      </w:r>
    </w:p>
    <w:p w14:paraId="1E64D7F5" w14:textId="77BDFF58" w:rsidR="008E1667" w:rsidRPr="00D75595" w:rsidRDefault="008A2A80" w:rsidP="00F7623D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  <w:t>Изследването се базира на разнообразни документални източници</w:t>
      </w:r>
      <w:r w:rsidR="00E04BF5">
        <w:rPr>
          <w:rFonts w:ascii="Arial" w:hAnsi="Arial" w:cs="Arial"/>
        </w:rPr>
        <w:t xml:space="preserve">, предимно от националните архиви на България, Великобритания и САЩ. В значителна степен са използвани колекциите с американски дипломатически документи </w:t>
      </w:r>
      <w:r w:rsidR="00E04BF5">
        <w:rPr>
          <w:rFonts w:ascii="Arial" w:hAnsi="Arial" w:cs="Arial"/>
          <w:lang w:val="en-GB"/>
        </w:rPr>
        <w:t>(</w:t>
      </w:r>
      <w:r w:rsidR="00E04BF5" w:rsidRPr="00A331C4">
        <w:rPr>
          <w:rFonts w:ascii="Arial" w:hAnsi="Arial" w:cs="Arial"/>
          <w:i/>
          <w:iCs/>
          <w:lang w:val="en-GB"/>
        </w:rPr>
        <w:t>Foreign Relations of the United States</w:t>
      </w:r>
      <w:r w:rsidR="00E04BF5">
        <w:rPr>
          <w:rFonts w:ascii="Arial" w:hAnsi="Arial" w:cs="Arial"/>
          <w:lang w:val="en-GB"/>
        </w:rPr>
        <w:t>)</w:t>
      </w:r>
      <w:r w:rsidR="00E04BF5">
        <w:rPr>
          <w:rFonts w:ascii="Arial" w:hAnsi="Arial" w:cs="Arial"/>
        </w:rPr>
        <w:t xml:space="preserve"> и отчасти достъпните дигитални колекции в Архива на НАТО в Брюксел и президентския архив на Хари Труман.</w:t>
      </w:r>
      <w:r w:rsidR="0059445E">
        <w:rPr>
          <w:rFonts w:ascii="Arial" w:hAnsi="Arial" w:cs="Arial"/>
        </w:rPr>
        <w:t xml:space="preserve"> </w:t>
      </w:r>
      <w:r w:rsidR="000F44FC">
        <w:rPr>
          <w:rFonts w:ascii="Arial" w:hAnsi="Arial" w:cs="Arial"/>
        </w:rPr>
        <w:t xml:space="preserve">Първостепенен източник е и документалният сборник, публикуван от Архива на НАТО </w:t>
      </w:r>
      <w:r w:rsidR="000F44FC">
        <w:rPr>
          <w:rFonts w:ascii="Arial" w:hAnsi="Arial" w:cs="Arial"/>
          <w:lang w:val="en-GB"/>
        </w:rPr>
        <w:t>(</w:t>
      </w:r>
      <w:r w:rsidR="000F44FC" w:rsidRPr="00A331C4">
        <w:rPr>
          <w:rFonts w:ascii="Arial" w:hAnsi="Arial" w:cs="Arial"/>
          <w:i/>
          <w:iCs/>
          <w:lang w:val="en-GB"/>
        </w:rPr>
        <w:t>NATO Strategy Documents 1949-1969</w:t>
      </w:r>
      <w:r w:rsidR="000F44FC">
        <w:rPr>
          <w:rFonts w:ascii="Arial" w:hAnsi="Arial" w:cs="Arial"/>
          <w:lang w:val="en-GB"/>
        </w:rPr>
        <w:t xml:space="preserve">). </w:t>
      </w:r>
      <w:r w:rsidR="0059445E">
        <w:rPr>
          <w:rFonts w:ascii="Arial" w:hAnsi="Arial" w:cs="Arial"/>
        </w:rPr>
        <w:t>Особено важен е анализът на ключови доктринални документи, каквито са стратегическите директиви</w:t>
      </w:r>
      <w:r w:rsidR="00684B3E">
        <w:rPr>
          <w:rFonts w:ascii="Arial" w:hAnsi="Arial" w:cs="Arial"/>
        </w:rPr>
        <w:t xml:space="preserve"> и меморандуми</w:t>
      </w:r>
      <w:r w:rsidR="0059445E">
        <w:rPr>
          <w:rFonts w:ascii="Arial" w:hAnsi="Arial" w:cs="Arial"/>
        </w:rPr>
        <w:t xml:space="preserve"> на Съвета за национална сигурност на САЩ. </w:t>
      </w:r>
      <w:r w:rsidR="00E04BF5">
        <w:rPr>
          <w:rFonts w:ascii="Arial" w:hAnsi="Arial" w:cs="Arial"/>
        </w:rPr>
        <w:t xml:space="preserve"> Разбира се, би могло да се проучи също достъпната </w:t>
      </w:r>
      <w:r w:rsidR="000F44FC">
        <w:rPr>
          <w:rFonts w:ascii="Arial" w:hAnsi="Arial" w:cs="Arial"/>
        </w:rPr>
        <w:t xml:space="preserve">онлайн </w:t>
      </w:r>
      <w:r w:rsidR="00E04BF5">
        <w:rPr>
          <w:rFonts w:ascii="Arial" w:hAnsi="Arial" w:cs="Arial"/>
        </w:rPr>
        <w:t>документация в президентския архив на Дуайт Айзенхауер</w:t>
      </w:r>
      <w:r w:rsidR="000F44FC">
        <w:rPr>
          <w:rFonts w:ascii="Arial" w:hAnsi="Arial" w:cs="Arial"/>
        </w:rPr>
        <w:t xml:space="preserve"> и в архива на ЦРУ на САЩ</w:t>
      </w:r>
      <w:r w:rsidR="00E04BF5">
        <w:rPr>
          <w:rFonts w:ascii="Arial" w:hAnsi="Arial" w:cs="Arial"/>
        </w:rPr>
        <w:t xml:space="preserve">. В библиографската справка е посочено използването на отделни документи от националните архиви на Франция и Испания, но те имат само косвено допълващо други извори значение без да са проучени по-съществени документални масиви за външната политика на Франция и Испания в проучвания регион. </w:t>
      </w:r>
      <w:r w:rsidR="00D75595">
        <w:rPr>
          <w:rFonts w:ascii="Arial" w:hAnsi="Arial" w:cs="Arial"/>
        </w:rPr>
        <w:t xml:space="preserve">Прави добро впечатление </w:t>
      </w:r>
      <w:r w:rsidR="00684B3E">
        <w:rPr>
          <w:rFonts w:ascii="Arial" w:hAnsi="Arial" w:cs="Arial"/>
        </w:rPr>
        <w:t xml:space="preserve">използването на </w:t>
      </w:r>
      <w:r w:rsidR="00D75595">
        <w:rPr>
          <w:rFonts w:ascii="Arial" w:hAnsi="Arial" w:cs="Arial"/>
        </w:rPr>
        <w:t xml:space="preserve">подбрани от документални източници исторически карти, но не става напълно ясно произходът на някои от тях обозначени </w:t>
      </w:r>
      <w:r w:rsidR="004F4EBD">
        <w:rPr>
          <w:rFonts w:ascii="Arial" w:hAnsi="Arial" w:cs="Arial"/>
        </w:rPr>
        <w:t>с „личен архив на автора“.</w:t>
      </w:r>
    </w:p>
    <w:p w14:paraId="1DBD9BF6" w14:textId="0324A88E" w:rsidR="008A2A80" w:rsidRPr="00E04BF5" w:rsidRDefault="0059445E" w:rsidP="008E166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Докторантът е посочил впечатляващ брой от научни изследвания – общо 172 заглавия, 109 от които на английски език</w:t>
      </w:r>
      <w:r w:rsidR="008E166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Болшинството от проучените и използвани изследвания </w:t>
      </w:r>
      <w:r w:rsidR="000F44FC">
        <w:rPr>
          <w:rFonts w:ascii="Arial" w:hAnsi="Arial" w:cs="Arial"/>
        </w:rPr>
        <w:t xml:space="preserve">са от </w:t>
      </w:r>
      <w:r w:rsidR="008E1667">
        <w:rPr>
          <w:rFonts w:ascii="Arial" w:hAnsi="Arial" w:cs="Arial"/>
        </w:rPr>
        <w:t xml:space="preserve">авторитетни </w:t>
      </w:r>
      <w:r w:rsidR="000F44FC">
        <w:rPr>
          <w:rFonts w:ascii="Arial" w:hAnsi="Arial" w:cs="Arial"/>
        </w:rPr>
        <w:t>специалисти по история на НАТО, международна политика и регионални изследвания</w:t>
      </w:r>
      <w:r w:rsidR="008E1667">
        <w:rPr>
          <w:rFonts w:ascii="Arial" w:hAnsi="Arial" w:cs="Arial"/>
        </w:rPr>
        <w:t xml:space="preserve"> като Лари Каплан и Вик Папакозма от центъра „Лаймън Лемницър“</w:t>
      </w:r>
      <w:r w:rsidR="000F44FC">
        <w:rPr>
          <w:rFonts w:ascii="Arial" w:hAnsi="Arial" w:cs="Arial"/>
        </w:rPr>
        <w:t>.</w:t>
      </w:r>
      <w:r w:rsidR="008E1667">
        <w:rPr>
          <w:rFonts w:ascii="Arial" w:hAnsi="Arial" w:cs="Arial"/>
        </w:rPr>
        <w:t xml:space="preserve"> Цитирани са публикации и на известни представители </w:t>
      </w:r>
      <w:r w:rsidR="004F4EBD">
        <w:rPr>
          <w:rFonts w:ascii="Arial" w:hAnsi="Arial" w:cs="Arial"/>
        </w:rPr>
        <w:t xml:space="preserve">от </w:t>
      </w:r>
      <w:r w:rsidR="008E1667">
        <w:rPr>
          <w:rFonts w:ascii="Arial" w:hAnsi="Arial" w:cs="Arial"/>
        </w:rPr>
        <w:t xml:space="preserve">съседни балкански историографски школи като Евантис Хадзивасилиу и Драган Богетич. Това, което ми липсва в библиографския обзор, са приносните изследвания за НАТО и Средиземноморската политика на редица колеги от Франция и Италия, част от </w:t>
      </w:r>
      <w:r w:rsidR="008E1667">
        <w:rPr>
          <w:rFonts w:ascii="Arial" w:hAnsi="Arial" w:cs="Arial"/>
        </w:rPr>
        <w:lastRenderedPageBreak/>
        <w:t>които са публикувани на английски език.</w:t>
      </w:r>
      <w:r w:rsidR="00684B3E">
        <w:rPr>
          <w:rFonts w:ascii="Arial" w:hAnsi="Arial" w:cs="Arial"/>
        </w:rPr>
        <w:t xml:space="preserve"> Специално по темата на дисертацията бих посочил новаторските изследвания на Алесандро Броджи, Елена Каландри, Леополдо Нути от известната „школа на Енио ди Нолфо“ във Флоренция, както и трудовете на Морис Вайс и Фредерик Бозо от Сорбоната.</w:t>
      </w:r>
    </w:p>
    <w:p w14:paraId="0E14EA90" w14:textId="77777777" w:rsidR="00855BCF" w:rsidRDefault="00855BCF" w:rsidP="00F762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увода на дисертационния труд Денчо Данчев се опитва да обоснове възприемането на предлагания от него </w:t>
      </w:r>
      <w:r w:rsidR="008A2A80">
        <w:rPr>
          <w:rFonts w:ascii="Arial" w:hAnsi="Arial" w:cs="Arial"/>
        </w:rPr>
        <w:t xml:space="preserve">многоаспектен и интердисциплинарен подход като очертава многоплановата и взаимосвързана рамка на регионалното историческо развитие на </w:t>
      </w:r>
      <w:r w:rsidR="004F4EBD">
        <w:rPr>
          <w:rFonts w:ascii="Arial" w:hAnsi="Arial" w:cs="Arial"/>
        </w:rPr>
        <w:t>с</w:t>
      </w:r>
      <w:r w:rsidR="008A2A80">
        <w:rPr>
          <w:rFonts w:ascii="Arial" w:hAnsi="Arial" w:cs="Arial"/>
        </w:rPr>
        <w:t>редиземноморските народи още от времето на Римската империя. Той въвежда понятията „късо“ и „дълго“ Средиземноморие, което включва разглеждане на геостратегическата ситуация в прилежащите към Средиземно море „отвъдсредиземноморски зони“.</w:t>
      </w:r>
      <w:r w:rsidR="004F4EBD">
        <w:rPr>
          <w:rFonts w:ascii="Arial" w:hAnsi="Arial" w:cs="Arial"/>
        </w:rPr>
        <w:t xml:space="preserve"> Основната цел на изследването е да изясни и систематизира „обединяващите и разединяващите политически и военностратегически фактори“ в средиземноморския регион. Обобщаващата хипотеза на автора е, че първоначално Вашингтон няма намерение да измества </w:t>
      </w:r>
      <w:r w:rsidR="003674EB">
        <w:rPr>
          <w:rFonts w:ascii="Arial" w:hAnsi="Arial" w:cs="Arial"/>
        </w:rPr>
        <w:t>своите най-близки съюзници Лондон и Париж в този регион, тъй като разчита на тяхната подкрепа в своята глобална политика на „сдържане на комунизма“ и възпиране на военнополитическото влияние на другата свръхсила – Съветския съюз. Впоследствие обаче американската политика именно поради своя глобален характер става все по-значим фактор в развитието на трите взаимосвързани средиземноморски „компоненти“ – Южна Европа, Близък изток и Северна Африка.</w:t>
      </w:r>
    </w:p>
    <w:p w14:paraId="537740A5" w14:textId="0CD9C4D4" w:rsidR="003674EB" w:rsidRPr="007974AE" w:rsidRDefault="003674EB" w:rsidP="00F7623D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  <w:t xml:space="preserve">Въведението на дисертационния труд, което в първоначалния вариант бе обособено в отделна глава, </w:t>
      </w:r>
      <w:r w:rsidR="00ED2C80">
        <w:rPr>
          <w:rFonts w:ascii="Arial" w:hAnsi="Arial" w:cs="Arial"/>
        </w:rPr>
        <w:t xml:space="preserve">разглежда предисторията на изследваната тема – ситуацията в района на Средиземноморието в първите следвоенни години </w:t>
      </w:r>
      <w:r w:rsidR="00ED2C80">
        <w:rPr>
          <w:rFonts w:ascii="Arial" w:hAnsi="Arial" w:cs="Arial"/>
          <w:lang w:val="en-GB"/>
        </w:rPr>
        <w:t>(</w:t>
      </w:r>
      <w:r w:rsidR="00ED2C80">
        <w:rPr>
          <w:rFonts w:ascii="Arial" w:hAnsi="Arial" w:cs="Arial"/>
        </w:rPr>
        <w:t>1945-1948</w:t>
      </w:r>
      <w:r w:rsidR="00ED2C80">
        <w:rPr>
          <w:rFonts w:ascii="Arial" w:hAnsi="Arial" w:cs="Arial"/>
          <w:lang w:val="en-GB"/>
        </w:rPr>
        <w:t>)</w:t>
      </w:r>
      <w:r w:rsidR="00ED2C80">
        <w:rPr>
          <w:rFonts w:ascii="Arial" w:hAnsi="Arial" w:cs="Arial"/>
        </w:rPr>
        <w:t xml:space="preserve"> преди подписването на Вашингтонския договор от 4 април 1949 г. Докторантът прави едно необходимо встъпление </w:t>
      </w:r>
      <w:r w:rsidR="00AC08BF">
        <w:rPr>
          <w:rFonts w:ascii="Arial" w:hAnsi="Arial" w:cs="Arial"/>
        </w:rPr>
        <w:t>с</w:t>
      </w:r>
      <w:r w:rsidR="00ED2C80">
        <w:rPr>
          <w:rFonts w:ascii="Arial" w:hAnsi="Arial" w:cs="Arial"/>
        </w:rPr>
        <w:t xml:space="preserve"> обосноваване спецификата на темата </w:t>
      </w:r>
      <w:r w:rsidR="00AC08BF">
        <w:rPr>
          <w:rFonts w:ascii="Arial" w:hAnsi="Arial" w:cs="Arial"/>
        </w:rPr>
        <w:t>в</w:t>
      </w:r>
      <w:r w:rsidR="00ED2C80">
        <w:rPr>
          <w:rFonts w:ascii="Arial" w:hAnsi="Arial" w:cs="Arial"/>
        </w:rPr>
        <w:t xml:space="preserve"> първия параграф „Особености на средиземноморската география“. В следващия параграф той разглежда ситуацията в региона в контекста на ескалацията на Студената война и изграждането на двуполюсния конфронтационен модел на международни отношения след 1946 г. Съвършено основателно е отделено подобаващо място на </w:t>
      </w:r>
      <w:r w:rsidR="00AC08BF">
        <w:rPr>
          <w:rFonts w:ascii="Arial" w:hAnsi="Arial" w:cs="Arial"/>
        </w:rPr>
        <w:t>причините за</w:t>
      </w:r>
      <w:r w:rsidR="00ED2C80">
        <w:rPr>
          <w:rFonts w:ascii="Arial" w:hAnsi="Arial" w:cs="Arial"/>
        </w:rPr>
        <w:t xml:space="preserve"> формулиране на доктрината „Труман“ – първата глобална идеологическа доктрина във външната политика на Съединените щати след Втората световна война.</w:t>
      </w:r>
      <w:r w:rsidR="001E044C">
        <w:rPr>
          <w:rFonts w:ascii="Arial" w:hAnsi="Arial" w:cs="Arial"/>
        </w:rPr>
        <w:t xml:space="preserve"> Разбира се, началото и ескалацията на Студената война би следвало да се разглежда като </w:t>
      </w:r>
      <w:r w:rsidR="001E044C">
        <w:rPr>
          <w:rFonts w:ascii="Arial" w:hAnsi="Arial" w:cs="Arial"/>
        </w:rPr>
        <w:lastRenderedPageBreak/>
        <w:t xml:space="preserve">взаимосвързан процес при който всяко действие на бившите военновременни съюзници, превърнали се в неотстъпчиви съперници за глобално влияние в следвоенния свят, поражда ответно действие обуславящо следващ етап на двустранно противопоставяне. В това отношение роля играят и странични събития като Иранската криза от 1946 г. или спорът за Триест от 1947 г., </w:t>
      </w:r>
      <w:r w:rsidR="00272EA0">
        <w:rPr>
          <w:rFonts w:ascii="Arial" w:hAnsi="Arial" w:cs="Arial"/>
        </w:rPr>
        <w:t xml:space="preserve">но по-важно значение имат фронталните сблъсъци в конфликтните зони на все по-разделена Европа, като се започне с гражданската война в Гърция и се стигне до Берлинската криза. Докторантът не пропуска да отбележи значението на „комунистическия преврат“ в Чехословакия през февруари 1948 г., но е пропуснал да </w:t>
      </w:r>
      <w:r w:rsidR="00AC08BF">
        <w:rPr>
          <w:rFonts w:ascii="Arial" w:hAnsi="Arial" w:cs="Arial"/>
        </w:rPr>
        <w:t>обърне внимание върху</w:t>
      </w:r>
      <w:r w:rsidR="00272EA0">
        <w:rPr>
          <w:rFonts w:ascii="Arial" w:hAnsi="Arial" w:cs="Arial"/>
        </w:rPr>
        <w:t xml:space="preserve"> по-същественото за темата на изследване събитие – първата тайна операция на американското разузнаване </w:t>
      </w:r>
      <w:r w:rsidR="00272EA0">
        <w:rPr>
          <w:rFonts w:ascii="Arial" w:hAnsi="Arial" w:cs="Arial"/>
          <w:lang w:val="en-GB"/>
        </w:rPr>
        <w:t>(</w:t>
      </w:r>
      <w:r w:rsidR="00272EA0">
        <w:rPr>
          <w:rFonts w:ascii="Arial" w:hAnsi="Arial" w:cs="Arial"/>
        </w:rPr>
        <w:t>октомври 1947-април 1948</w:t>
      </w:r>
      <w:r w:rsidR="00272EA0">
        <w:rPr>
          <w:rFonts w:ascii="Arial" w:hAnsi="Arial" w:cs="Arial"/>
          <w:lang w:val="en-GB"/>
        </w:rPr>
        <w:t>)</w:t>
      </w:r>
      <w:r w:rsidR="00272EA0">
        <w:rPr>
          <w:rFonts w:ascii="Arial" w:hAnsi="Arial" w:cs="Arial"/>
        </w:rPr>
        <w:t xml:space="preserve"> за предотвратяване </w:t>
      </w:r>
      <w:r w:rsidR="00AC08BF">
        <w:rPr>
          <w:rFonts w:ascii="Arial" w:hAnsi="Arial" w:cs="Arial"/>
        </w:rPr>
        <w:t>на евентуален успех</w:t>
      </w:r>
      <w:r w:rsidR="00272EA0">
        <w:rPr>
          <w:rFonts w:ascii="Arial" w:hAnsi="Arial" w:cs="Arial"/>
        </w:rPr>
        <w:t xml:space="preserve"> на л</w:t>
      </w:r>
      <w:r w:rsidR="007904AA">
        <w:rPr>
          <w:rFonts w:ascii="Arial" w:hAnsi="Arial" w:cs="Arial"/>
        </w:rPr>
        <w:t>я</w:t>
      </w:r>
      <w:r w:rsidR="00272EA0">
        <w:rPr>
          <w:rFonts w:ascii="Arial" w:hAnsi="Arial" w:cs="Arial"/>
        </w:rPr>
        <w:t>воцентристката коалиция на парламентарните избори в Италия. През 201</w:t>
      </w:r>
      <w:r w:rsidR="007B74E5">
        <w:rPr>
          <w:rFonts w:ascii="Arial" w:hAnsi="Arial" w:cs="Arial"/>
          <w:lang w:val="en-US"/>
        </w:rPr>
        <w:t>7</w:t>
      </w:r>
      <w:r w:rsidR="00272EA0">
        <w:rPr>
          <w:rFonts w:ascii="Arial" w:hAnsi="Arial" w:cs="Arial"/>
        </w:rPr>
        <w:t xml:space="preserve"> г. бяха декласифицирани нови архивни документи, от които се вижда, че представители на ЦРУ в Рим са подготвили съвместно с висши италиански военни план за военен преврат в </w:t>
      </w:r>
      <w:r w:rsidR="00272EA0" w:rsidRPr="007974AE">
        <w:rPr>
          <w:rFonts w:ascii="Arial" w:hAnsi="Arial" w:cs="Arial"/>
        </w:rPr>
        <w:t xml:space="preserve">случай на победа на левицата на изборите в Италия </w:t>
      </w:r>
      <w:r w:rsidR="007B74E5" w:rsidRPr="007974AE">
        <w:rPr>
          <w:rFonts w:ascii="Arial" w:hAnsi="Arial" w:cs="Arial"/>
          <w:lang w:val="en-GB"/>
        </w:rPr>
        <w:t>(</w:t>
      </w:r>
      <w:hyperlink r:id="rId6" w:history="1">
        <w:r w:rsidR="007B74E5" w:rsidRPr="007974AE">
          <w:rPr>
            <w:rStyle w:val="Hyperlink"/>
            <w:rFonts w:ascii="Arial" w:hAnsi="Arial" w:cs="Arial"/>
          </w:rPr>
          <w:t>https://www.wilsoncenter.org/blog-post/all-feasible-means</w:t>
        </w:r>
      </w:hyperlink>
      <w:r w:rsidR="007B74E5" w:rsidRPr="007974AE">
        <w:rPr>
          <w:rFonts w:ascii="Arial" w:hAnsi="Arial" w:cs="Arial"/>
          <w:lang w:val="en-GB"/>
        </w:rPr>
        <w:t>).</w:t>
      </w:r>
    </w:p>
    <w:p w14:paraId="139B7990" w14:textId="4E243F2D" w:rsidR="007B74E5" w:rsidRDefault="007B74E5" w:rsidP="00F7623D">
      <w:pPr>
        <w:spacing w:line="360" w:lineRule="auto"/>
        <w:jc w:val="both"/>
        <w:rPr>
          <w:rFonts w:ascii="Arial" w:hAnsi="Arial" w:cs="Arial"/>
        </w:rPr>
      </w:pPr>
      <w:r w:rsidRPr="007974AE">
        <w:rPr>
          <w:rFonts w:ascii="Arial" w:hAnsi="Arial" w:cs="Arial"/>
          <w:lang w:val="en-GB"/>
        </w:rPr>
        <w:tab/>
      </w:r>
      <w:r w:rsidRPr="007974AE">
        <w:rPr>
          <w:rFonts w:ascii="Arial" w:hAnsi="Arial" w:cs="Arial"/>
        </w:rPr>
        <w:t xml:space="preserve">Първата глава обхваща периода от създаването на Северноатлантическия съюз до неговото първо разширяване на Балканите, което съвпада с управлението в Съединените щати на администрацията на президента Хари Труман. Приносен момент </w:t>
      </w:r>
      <w:r w:rsidR="00773CAF">
        <w:rPr>
          <w:rFonts w:ascii="Arial" w:hAnsi="Arial" w:cs="Arial"/>
        </w:rPr>
        <w:t>за</w:t>
      </w:r>
      <w:r w:rsidRPr="007974AE">
        <w:rPr>
          <w:rFonts w:ascii="Arial" w:hAnsi="Arial" w:cs="Arial"/>
        </w:rPr>
        <w:t xml:space="preserve"> българската историография има вторият параграф от главата, в който много детайлно се разглеждат тайните преговори и дискусии в процеса на създаване на НАТО, </w:t>
      </w:r>
      <w:r w:rsidR="00CC62C0">
        <w:rPr>
          <w:rFonts w:ascii="Arial" w:hAnsi="Arial" w:cs="Arial"/>
        </w:rPr>
        <w:t>сред тях</w:t>
      </w:r>
      <w:r w:rsidRPr="007974AE">
        <w:rPr>
          <w:rFonts w:ascii="Arial" w:hAnsi="Arial" w:cs="Arial"/>
        </w:rPr>
        <w:t xml:space="preserve"> и ключови стратегически въпроси относно включването на Италия и Португалия в бъдещия западен военнополитически съюз.</w:t>
      </w:r>
      <w:r w:rsidR="008025A2">
        <w:rPr>
          <w:rFonts w:ascii="Arial" w:hAnsi="Arial" w:cs="Arial"/>
          <w:lang w:val="en-US"/>
        </w:rPr>
        <w:t xml:space="preserve"> </w:t>
      </w:r>
      <w:r w:rsidR="00CC62C0">
        <w:rPr>
          <w:rFonts w:ascii="Arial" w:hAnsi="Arial" w:cs="Arial"/>
        </w:rPr>
        <w:t>Важно място заема анализът на еволюцията във функционалното развитие на Алианса от първоначално политико-кон</w:t>
      </w:r>
      <w:r w:rsidR="00AC08BF">
        <w:rPr>
          <w:rFonts w:ascii="Arial" w:hAnsi="Arial" w:cs="Arial"/>
        </w:rPr>
        <w:t>с</w:t>
      </w:r>
      <w:r w:rsidR="00CC62C0">
        <w:rPr>
          <w:rFonts w:ascii="Arial" w:hAnsi="Arial" w:cs="Arial"/>
        </w:rPr>
        <w:t xml:space="preserve">ултативен съюз към изцяло военнополитическа организация с изградени военни структури, като се отчита значението на Корейската война за милитаризирането на двата противостоящи блока. В този контекст основателно Денчо Данчев обръща по-голямо внимание върху еволюцията при формулиране и предефиниране на първите стратегически концепции на НАТО </w:t>
      </w:r>
      <w:r w:rsidR="00186B47">
        <w:rPr>
          <w:rFonts w:ascii="Arial" w:hAnsi="Arial" w:cs="Arial"/>
        </w:rPr>
        <w:t xml:space="preserve">и на доктриналните документи за политиката на САЩ, особено директивата на Съвета за национална сигурност </w:t>
      </w:r>
      <w:r w:rsidR="00AC08BF">
        <w:rPr>
          <w:rFonts w:ascii="Arial" w:hAnsi="Arial" w:cs="Arial"/>
        </w:rPr>
        <w:t xml:space="preserve">№ </w:t>
      </w:r>
      <w:r w:rsidR="00186B47">
        <w:rPr>
          <w:rFonts w:ascii="Arial" w:hAnsi="Arial" w:cs="Arial"/>
        </w:rPr>
        <w:t xml:space="preserve">68 от април 1950 г. В рамките на изследваната тема особено значение придобива изясняването на проблема за </w:t>
      </w:r>
      <w:r w:rsidR="00186B47">
        <w:rPr>
          <w:rFonts w:ascii="Arial" w:hAnsi="Arial" w:cs="Arial"/>
        </w:rPr>
        <w:lastRenderedPageBreak/>
        <w:t xml:space="preserve">първото разширяване на пакта с присъединяване на двете балкански и средиземноморски държави Гърция и Турция. Разбира се, включването на Гърция и Турция има преди всичко геополитически измерения, тъй като във военнотехническо, икономическо, инфраструктурно и най-вече обществено-политическо отношение и двете балкански държави са твърде далеч от равнището и общоприетите демократични критерии при останалите европейски съюзници </w:t>
      </w:r>
      <w:r w:rsidR="0023213D">
        <w:rPr>
          <w:rFonts w:ascii="Arial" w:hAnsi="Arial" w:cs="Arial"/>
          <w:lang w:val="en-GB"/>
        </w:rPr>
        <w:t>(</w:t>
      </w:r>
      <w:r w:rsidR="00186B47">
        <w:rPr>
          <w:rFonts w:ascii="Arial" w:hAnsi="Arial" w:cs="Arial"/>
        </w:rPr>
        <w:t>с единствено изключение Португалия</w:t>
      </w:r>
      <w:r w:rsidR="0023213D">
        <w:rPr>
          <w:rFonts w:ascii="Arial" w:hAnsi="Arial" w:cs="Arial"/>
          <w:lang w:val="en-GB"/>
        </w:rPr>
        <w:t>)</w:t>
      </w:r>
      <w:r w:rsidR="00186B47">
        <w:rPr>
          <w:rFonts w:ascii="Arial" w:hAnsi="Arial" w:cs="Arial"/>
        </w:rPr>
        <w:t>. Тук е уместно разглеждането на дилемата за евентуално присъединяване на Испания по геостратегически причини</w:t>
      </w:r>
      <w:r w:rsidR="00E34205">
        <w:rPr>
          <w:rFonts w:ascii="Arial" w:hAnsi="Arial" w:cs="Arial"/>
        </w:rPr>
        <w:t xml:space="preserve">, което е </w:t>
      </w:r>
      <w:r w:rsidR="0023213D">
        <w:rPr>
          <w:rFonts w:ascii="Arial" w:hAnsi="Arial" w:cs="Arial"/>
        </w:rPr>
        <w:t xml:space="preserve">предложено от Съединените щати, но </w:t>
      </w:r>
      <w:r w:rsidR="00E34205">
        <w:rPr>
          <w:rFonts w:ascii="Arial" w:hAnsi="Arial" w:cs="Arial"/>
        </w:rPr>
        <w:t>категорично отхвърлено от страни като Франция и Италия</w:t>
      </w:r>
      <w:r w:rsidR="0023213D">
        <w:rPr>
          <w:rFonts w:ascii="Arial" w:hAnsi="Arial" w:cs="Arial"/>
        </w:rPr>
        <w:t>. Е</w:t>
      </w:r>
      <w:r w:rsidR="00E34205">
        <w:rPr>
          <w:rFonts w:ascii="Arial" w:hAnsi="Arial" w:cs="Arial"/>
        </w:rPr>
        <w:t xml:space="preserve">два ли е било необходимо </w:t>
      </w:r>
      <w:r w:rsidR="0023213D">
        <w:rPr>
          <w:rFonts w:ascii="Arial" w:hAnsi="Arial" w:cs="Arial"/>
        </w:rPr>
        <w:t xml:space="preserve">обаче </w:t>
      </w:r>
      <w:r w:rsidR="00E34205">
        <w:rPr>
          <w:rFonts w:ascii="Arial" w:hAnsi="Arial" w:cs="Arial"/>
        </w:rPr>
        <w:t>да има два отделни параграфа за Испания на Франко в първа и втора глава.</w:t>
      </w:r>
    </w:p>
    <w:p w14:paraId="20F2114B" w14:textId="5DC58218" w:rsidR="00571C78" w:rsidRDefault="00E34205" w:rsidP="00F762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Добре развит в първа глава е още един ключов въпрос по изследваната тема – за противоречията и различните концепции на водещите съюзници в Алианса относно създаването на близкоизточно или средиземноморско командване и дори първоначалната идея за сателитни партньорски военнополитически организации в източното Средиземноморие, каквито впоследствие се създават в други региони </w:t>
      </w:r>
      <w:r>
        <w:rPr>
          <w:rFonts w:ascii="Arial" w:hAnsi="Arial" w:cs="Arial"/>
          <w:lang w:val="en-GB"/>
        </w:rPr>
        <w:t>(</w:t>
      </w:r>
      <w:r>
        <w:rPr>
          <w:rFonts w:ascii="Arial" w:hAnsi="Arial" w:cs="Arial"/>
        </w:rPr>
        <w:t>СЕАТО и СЕНТО</w:t>
      </w:r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</w:rPr>
        <w:t xml:space="preserve">. Англо-американските различия </w:t>
      </w:r>
      <w:r w:rsidR="0023213D">
        <w:rPr>
          <w:rFonts w:ascii="Arial" w:hAnsi="Arial" w:cs="Arial"/>
        </w:rPr>
        <w:t xml:space="preserve">в тези месеци представляват все </w:t>
      </w:r>
      <w:r w:rsidR="008E1B21">
        <w:rPr>
          <w:rFonts w:ascii="Arial" w:hAnsi="Arial" w:cs="Arial"/>
        </w:rPr>
        <w:t xml:space="preserve">още завоалирани първи симптоми за бъдещи кризисни явления в трансатлантическите отношения, каквито се проявяват публично по-късно по време на Суецката криза. Би могло </w:t>
      </w:r>
      <w:r w:rsidR="0023213D">
        <w:rPr>
          <w:rFonts w:ascii="Arial" w:hAnsi="Arial" w:cs="Arial"/>
        </w:rPr>
        <w:t xml:space="preserve">в труда </w:t>
      </w:r>
      <w:r w:rsidR="008E1B21">
        <w:rPr>
          <w:rFonts w:ascii="Arial" w:hAnsi="Arial" w:cs="Arial"/>
        </w:rPr>
        <w:t xml:space="preserve">да се отдели известно внимание и на френско-британските стратегически противоречия, както и на отражението им върху позициите на управляващите политически и военни елити в Турция и Гърция. </w:t>
      </w:r>
    </w:p>
    <w:p w14:paraId="03759878" w14:textId="4A22B3E0" w:rsidR="00E34205" w:rsidRDefault="008E1B21" w:rsidP="00571C7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Обособяването на три отделни параграфи за ситуацията в Египет и Френска Северна Африка в първа глава едва ли е било необходимо, тъй като ролята им като „кризисни“ и „разединяващи“ фактори за атлантическото единство се проявява едва след 1952 г. В тази връзка, именно през 1952 г. </w:t>
      </w:r>
      <w:r w:rsidR="00571C78">
        <w:rPr>
          <w:rFonts w:ascii="Arial" w:hAnsi="Arial" w:cs="Arial"/>
        </w:rPr>
        <w:t>се случва събитие, което представлява първият прецедент във взаимоотношенията между водещите партньори в Алианса. Предложението на Франция към своите съюзници за реална подкрепа по време на първата Индокитайска война е оставено без отговор от Съединените щати и другите страни-членки тъй като става въпрос за район, отдалечен чувствително от общата територия на НАТО. По сходен начин десетилетие по</w:t>
      </w:r>
      <w:r w:rsidR="0023213D">
        <w:rPr>
          <w:rFonts w:ascii="Arial" w:hAnsi="Arial" w:cs="Arial"/>
        </w:rPr>
        <w:t xml:space="preserve">-късно европейските съюзници не откликват на призива на Вашингтон за реална подкрепа по време на втората Индокитайска </w:t>
      </w:r>
      <w:r w:rsidR="0023213D">
        <w:rPr>
          <w:rFonts w:ascii="Arial" w:hAnsi="Arial" w:cs="Arial"/>
        </w:rPr>
        <w:lastRenderedPageBreak/>
        <w:t>война. По-специфичен е проблемът с Алжирската война на Франция, тъй като този „отвъдморски департамент“ е документално включен в общата територия за отбрана на Съюза.</w:t>
      </w:r>
    </w:p>
    <w:p w14:paraId="39862932" w14:textId="77777777" w:rsidR="00A6212F" w:rsidRDefault="007E7588" w:rsidP="00571C7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Въпреки, че хронологичният обхват на втора глава на пръв поглед е ограничен по време </w:t>
      </w:r>
      <w:r>
        <w:rPr>
          <w:rFonts w:ascii="Arial" w:hAnsi="Arial" w:cs="Arial"/>
          <w:lang w:val="en-GB"/>
        </w:rPr>
        <w:t>(</w:t>
      </w:r>
      <w:r>
        <w:rPr>
          <w:rFonts w:ascii="Arial" w:hAnsi="Arial" w:cs="Arial"/>
        </w:rPr>
        <w:t>1953-1956</w:t>
      </w:r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</w:rPr>
        <w:t xml:space="preserve">, Денчо Данчев разкрива убедително изключителната динамика на историческите процеси и събития в този период. Докторантът е намерил за уместно да маркира същностните промени във външната политика на двете свръхсили след идването на новата администрация на Дуайт Айзенхауер във Вашингтон и </w:t>
      </w:r>
      <w:r w:rsidR="006F5798">
        <w:rPr>
          <w:rFonts w:ascii="Arial" w:hAnsi="Arial" w:cs="Arial"/>
        </w:rPr>
        <w:t xml:space="preserve">наследниците на Й. Сталин в Москва, както и условният период на „размразяване“ в международните отношения след срещата на високо равнище в Женева. Обективно и на добра документална основа са разгледани причинно-следствените връзки при създаването на Балканския и Багдадския пакт и логичният залез на тези многостранни инициативи поради Кипърската криза и Иракската национална революция. От гледна точка на историческите взаимодействия в НАТО ролята на нов прецедент изиграват действията на Гърция, която предпочита да представи спорните въпроси около съдбата на Кипър в ООН, а не вътре в Алианса за да избегне противодействие и блокиране на своите планове от страна на съюзниците Турция и Великобритания. </w:t>
      </w:r>
    </w:p>
    <w:p w14:paraId="305B6806" w14:textId="48CACE84" w:rsidR="0023213D" w:rsidRDefault="00A6212F" w:rsidP="00571C7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дисертационния труд подобаващо място е отделено на промените в доктриналните и стратегически схващания на Съединените щати, в това число и с възприемане на политиката на „ядрено сдържане“ чрез разполагане на ядрени оръжия на територията на някои европейски съюзници. В тази връзка би следвало да се посочи значението на решенията от декемврийската среща на Съвета на НАТО в Париж през декември 1955 г. за разполагане на тактически ядрени оръжия </w:t>
      </w:r>
      <w:r>
        <w:rPr>
          <w:rFonts w:ascii="Arial" w:hAnsi="Arial" w:cs="Arial"/>
          <w:lang w:val="en-GB"/>
        </w:rPr>
        <w:t>(</w:t>
      </w:r>
      <w:r>
        <w:rPr>
          <w:rFonts w:ascii="Arial" w:hAnsi="Arial" w:cs="Arial"/>
        </w:rPr>
        <w:t>ракетни комплекси „Онест Джон“ и „Найк Херкулес“</w:t>
      </w:r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</w:rPr>
        <w:t xml:space="preserve"> на територията на трите средиземноморски съюзни държави – Италия, Турция и Гърция. Въпреки, че има твърде много научни публикации по темата за Суецката криза и провалът на операция „Мускетари“ с дебаркиране на британски и френски войски в зоната на Суецкия канал през октомври 1956 г., това е ключово събитие в изследваната тема на дисертацията и ще</w:t>
      </w:r>
      <w:r w:rsidR="002D40C6">
        <w:rPr>
          <w:rFonts w:ascii="Arial" w:hAnsi="Arial" w:cs="Arial"/>
        </w:rPr>
        <w:t xml:space="preserve">ше да е по-целесъобразно да се изведе в отделен параграф. Формулирането на новата американска стратегическа политика към Близкия изток в доктрината „Айзенхауер“ също би могло да е обект на още по-задълбочен и обстоен анализ, тъй като в нея </w:t>
      </w:r>
      <w:r w:rsidR="002D40C6">
        <w:rPr>
          <w:rFonts w:ascii="Arial" w:hAnsi="Arial" w:cs="Arial"/>
        </w:rPr>
        <w:lastRenderedPageBreak/>
        <w:t>синтезирано са обосновани всички онези същностни компоненти, които докторантът е посочил в предходните страници.</w:t>
      </w:r>
    </w:p>
    <w:p w14:paraId="27617B2A" w14:textId="14CA71EB" w:rsidR="002D40C6" w:rsidRDefault="002D40C6" w:rsidP="00571C7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общи линии представените в двете глави обобщ</w:t>
      </w:r>
      <w:r w:rsidR="00773CAF">
        <w:rPr>
          <w:rFonts w:ascii="Arial" w:hAnsi="Arial" w:cs="Arial"/>
        </w:rPr>
        <w:t>аващи</w:t>
      </w:r>
      <w:r>
        <w:rPr>
          <w:rFonts w:ascii="Arial" w:hAnsi="Arial" w:cs="Arial"/>
        </w:rPr>
        <w:t xml:space="preserve"> изводи съответстват на цялостния анализ в изложението и могат да се приемат за достоверни. При такъв калейдоскопично широк и разнообразен обхват от проблемни въпроси, разгледани в дисертационния труд </w:t>
      </w:r>
      <w:r w:rsidR="00773CAF">
        <w:rPr>
          <w:rFonts w:ascii="Arial" w:hAnsi="Arial" w:cs="Arial"/>
        </w:rPr>
        <w:t xml:space="preserve">заключението </w:t>
      </w:r>
      <w:r>
        <w:rPr>
          <w:rFonts w:ascii="Arial" w:hAnsi="Arial" w:cs="Arial"/>
        </w:rPr>
        <w:t xml:space="preserve">би могло да е още по-обстойно и комплексно, тъй като само в четири страници е твърде трудно да се обхванат всички значими исторически </w:t>
      </w:r>
      <w:r w:rsidR="0077397E">
        <w:rPr>
          <w:rFonts w:ascii="Arial" w:hAnsi="Arial" w:cs="Arial"/>
        </w:rPr>
        <w:t>събития, описани в това монографично изследване.</w:t>
      </w:r>
    </w:p>
    <w:p w14:paraId="02E0CFC9" w14:textId="2F788D38" w:rsidR="0077397E" w:rsidRDefault="0077397E" w:rsidP="00571C7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Авторефератът отразява обективно съдържанието и изводите на дисертационния труд. Формулираните приносни моменти могат да бъдат приети за достоверни с известно прецизиране на третия приносен момент – непубликуваните исторически карти от „личния архив на автора“ наистина допринасят за по-добра нагледност и пространствена перспектива, но вероятно те би трябвало да бъдат приобщени към приносния момент за въвеждане в научна употреба на новоразкрити документални материали, тъй като </w:t>
      </w:r>
      <w:r w:rsidR="0078213D">
        <w:rPr>
          <w:rFonts w:ascii="Arial" w:hAnsi="Arial" w:cs="Arial"/>
        </w:rPr>
        <w:t xml:space="preserve">очевидно са придобити от архивни източници. Посочените пет публикации са лично дело на автора на дисертацията. Известно колебание имам към включването на първата публикация за „Пакта от Рио“ </w:t>
      </w:r>
      <w:r w:rsidR="0078213D">
        <w:rPr>
          <w:rFonts w:ascii="Arial" w:hAnsi="Arial" w:cs="Arial"/>
          <w:lang w:val="en-GB"/>
        </w:rPr>
        <w:t>(</w:t>
      </w:r>
      <w:r w:rsidR="0078213D">
        <w:rPr>
          <w:rFonts w:ascii="Arial" w:hAnsi="Arial" w:cs="Arial"/>
        </w:rPr>
        <w:t>1947</w:t>
      </w:r>
      <w:r w:rsidR="0078213D">
        <w:rPr>
          <w:rFonts w:ascii="Arial" w:hAnsi="Arial" w:cs="Arial"/>
          <w:lang w:val="en-GB"/>
        </w:rPr>
        <w:t>)</w:t>
      </w:r>
      <w:r w:rsidR="0078213D">
        <w:rPr>
          <w:rFonts w:ascii="Arial" w:hAnsi="Arial" w:cs="Arial"/>
        </w:rPr>
        <w:t>, тъй като няма пряко отношение към темата за Средиземноморието и само косвено по аналогия засяга въпроса за модела на създаване на Северноатлантическия съюз.</w:t>
      </w:r>
    </w:p>
    <w:p w14:paraId="3ECE64AD" w14:textId="4C496920" w:rsidR="0078213D" w:rsidRDefault="0078213D" w:rsidP="00571C7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Към дисертационния труд биха могли да бъдат </w:t>
      </w:r>
      <w:r w:rsidR="00773CAF">
        <w:rPr>
          <w:rFonts w:ascii="Arial" w:hAnsi="Arial" w:cs="Arial"/>
        </w:rPr>
        <w:t xml:space="preserve">отправени </w:t>
      </w:r>
      <w:r>
        <w:rPr>
          <w:rFonts w:ascii="Arial" w:hAnsi="Arial" w:cs="Arial"/>
        </w:rPr>
        <w:t>отделни критични бележки от редакционно-техническо естество. Това най-вече се отнася до твърде дългите цитати и многобройните описателни обяснителни бележки под линия, които в известна степен затрудняват възприемането на цялостния текст в изложението. В интерес на хармоничната композиция и четивността на труда тези текстове биха могли да бъдат прецизирани, съкратени или резюмирани вътре в самото съдържание при евентуална подготовка на монографията за печат.</w:t>
      </w:r>
    </w:p>
    <w:p w14:paraId="621F27D0" w14:textId="0162E8FB" w:rsidR="003932E5" w:rsidRDefault="0078213D" w:rsidP="0069327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заключение, бих искал да подчертая</w:t>
      </w:r>
      <w:r w:rsidR="00455991">
        <w:rPr>
          <w:rFonts w:ascii="Arial" w:hAnsi="Arial" w:cs="Arial"/>
        </w:rPr>
        <w:t xml:space="preserve"> своето удовлетворение от дефинирането и </w:t>
      </w:r>
      <w:r w:rsidR="0069327A">
        <w:rPr>
          <w:rFonts w:ascii="Arial" w:hAnsi="Arial" w:cs="Arial"/>
        </w:rPr>
        <w:t xml:space="preserve">правдивата </w:t>
      </w:r>
      <w:r w:rsidR="00455991">
        <w:rPr>
          <w:rFonts w:ascii="Arial" w:hAnsi="Arial" w:cs="Arial"/>
        </w:rPr>
        <w:t>историческа реконструция на широк диапазон от проблемни въпроси</w:t>
      </w:r>
      <w:r w:rsidR="0069327A">
        <w:rPr>
          <w:rFonts w:ascii="Arial" w:hAnsi="Arial" w:cs="Arial"/>
        </w:rPr>
        <w:t>, които</w:t>
      </w:r>
      <w:r w:rsidR="00455991">
        <w:rPr>
          <w:rFonts w:ascii="Arial" w:hAnsi="Arial" w:cs="Arial"/>
        </w:rPr>
        <w:t xml:space="preserve"> показват сериозно и задълбочено отношение от страна на докторанта и умение да открива, систематизира и интерпретира същностните взаимосвързани събития и явления</w:t>
      </w:r>
      <w:r w:rsidR="0069327A">
        <w:rPr>
          <w:rFonts w:ascii="Arial" w:hAnsi="Arial" w:cs="Arial"/>
        </w:rPr>
        <w:t xml:space="preserve"> по изследваната тематика. </w:t>
      </w:r>
      <w:r w:rsidR="0069327A">
        <w:rPr>
          <w:rFonts w:ascii="Arial" w:hAnsi="Arial" w:cs="Arial"/>
        </w:rPr>
        <w:lastRenderedPageBreak/>
        <w:t xml:space="preserve">Всичко това ми дава основание да направя обосновано заключение, че </w:t>
      </w:r>
      <w:r w:rsidR="00455991">
        <w:rPr>
          <w:rFonts w:ascii="Arial" w:hAnsi="Arial" w:cs="Arial"/>
        </w:rPr>
        <w:t xml:space="preserve"> </w:t>
      </w:r>
      <w:r w:rsidR="0069327A">
        <w:rPr>
          <w:rFonts w:ascii="Arial" w:hAnsi="Arial" w:cs="Arial"/>
        </w:rPr>
        <w:t xml:space="preserve">разглежданият </w:t>
      </w:r>
      <w:r w:rsidR="0069327A">
        <w:rPr>
          <w:rFonts w:ascii="Arial" w:hAnsi="Arial" w:cs="Arial"/>
        </w:rPr>
        <w:t>дисертацион</w:t>
      </w:r>
      <w:r w:rsidR="0069327A">
        <w:rPr>
          <w:rFonts w:ascii="Arial" w:hAnsi="Arial" w:cs="Arial"/>
        </w:rPr>
        <w:t>ен</w:t>
      </w:r>
      <w:r w:rsidR="0069327A">
        <w:rPr>
          <w:rFonts w:ascii="Arial" w:hAnsi="Arial" w:cs="Arial"/>
        </w:rPr>
        <w:t xml:space="preserve"> труд</w:t>
      </w:r>
      <w:r w:rsidR="0069327A">
        <w:rPr>
          <w:rFonts w:ascii="Arial" w:hAnsi="Arial" w:cs="Arial"/>
        </w:rPr>
        <w:t xml:space="preserve"> </w:t>
      </w:r>
      <w:r w:rsidR="00773CAF">
        <w:rPr>
          <w:rFonts w:ascii="Arial" w:hAnsi="Arial" w:cs="Arial"/>
        </w:rPr>
        <w:t xml:space="preserve">в общи линии </w:t>
      </w:r>
      <w:r w:rsidR="0069327A">
        <w:rPr>
          <w:rFonts w:ascii="Arial" w:hAnsi="Arial" w:cs="Arial"/>
        </w:rPr>
        <w:t xml:space="preserve">отговаря на необходимите изисквания и критерии за придобиване на образователната и научна степен „доктор“ в съответствие със Закона за развитие на академичния състав на Република България и Правилника за неговото приложение. </w:t>
      </w:r>
      <w:r w:rsidR="0069327A" w:rsidRPr="0069327A">
        <w:rPr>
          <w:rFonts w:ascii="Arial" w:hAnsi="Arial" w:cs="Arial"/>
          <w:szCs w:val="28"/>
        </w:rPr>
        <w:t xml:space="preserve">Предвид на гореизложеното, </w:t>
      </w:r>
      <w:bookmarkStart w:id="0" w:name="_GoBack"/>
      <w:bookmarkEnd w:id="0"/>
      <w:r w:rsidR="0069327A" w:rsidRPr="0069327A">
        <w:rPr>
          <w:rFonts w:ascii="Arial" w:hAnsi="Arial" w:cs="Arial"/>
          <w:szCs w:val="28"/>
        </w:rPr>
        <w:t xml:space="preserve">ще гласувам с „да” и призовавам уважаемите членове на научното жури също да дадат своя глас за </w:t>
      </w:r>
      <w:r w:rsidR="0069327A" w:rsidRPr="0069327A">
        <w:rPr>
          <w:rFonts w:ascii="Arial" w:hAnsi="Arial" w:cs="Arial"/>
          <w:szCs w:val="28"/>
          <w:lang w:val="ru-RU"/>
        </w:rPr>
        <w:t xml:space="preserve">присъждане на </w:t>
      </w:r>
      <w:r w:rsidR="0069327A">
        <w:rPr>
          <w:rFonts w:ascii="Arial" w:hAnsi="Arial" w:cs="Arial"/>
          <w:szCs w:val="28"/>
          <w:lang w:val="ru-RU"/>
        </w:rPr>
        <w:t xml:space="preserve">Денчо Стефанов Данчев </w:t>
      </w:r>
      <w:r w:rsidR="0069327A" w:rsidRPr="0069327A">
        <w:rPr>
          <w:rFonts w:ascii="Arial" w:hAnsi="Arial" w:cs="Arial"/>
          <w:szCs w:val="28"/>
          <w:lang w:val="ru-RU"/>
        </w:rPr>
        <w:t>на образователната и научна степен „доктор”</w:t>
      </w:r>
      <w:r w:rsidR="0069327A" w:rsidRPr="0069327A">
        <w:rPr>
          <w:rFonts w:ascii="Arial" w:hAnsi="Arial" w:cs="Arial"/>
        </w:rPr>
        <w:t xml:space="preserve"> </w:t>
      </w:r>
      <w:r w:rsidR="0069327A">
        <w:rPr>
          <w:rFonts w:ascii="Arial" w:hAnsi="Arial" w:cs="Arial"/>
        </w:rPr>
        <w:t>в област на висше образование „Хуманитарни науки“, професионално направление 2.2. „История и археология“</w:t>
      </w:r>
      <w:r w:rsidR="0069327A">
        <w:rPr>
          <w:rFonts w:ascii="Arial" w:hAnsi="Arial" w:cs="Arial"/>
        </w:rPr>
        <w:t>.</w:t>
      </w:r>
    </w:p>
    <w:p w14:paraId="338D0033" w14:textId="434D84A9" w:rsidR="0069327A" w:rsidRDefault="0069327A" w:rsidP="0069327A">
      <w:pPr>
        <w:spacing w:line="360" w:lineRule="auto"/>
        <w:jc w:val="both"/>
        <w:rPr>
          <w:rFonts w:ascii="Arial" w:hAnsi="Arial" w:cs="Arial"/>
        </w:rPr>
      </w:pPr>
    </w:p>
    <w:p w14:paraId="0FE722F6" w14:textId="3134E97F" w:rsidR="0069327A" w:rsidRDefault="0069327A" w:rsidP="0069327A">
      <w:pPr>
        <w:spacing w:line="360" w:lineRule="auto"/>
        <w:jc w:val="both"/>
        <w:rPr>
          <w:rFonts w:ascii="Arial" w:hAnsi="Arial" w:cs="Arial"/>
        </w:rPr>
      </w:pPr>
    </w:p>
    <w:p w14:paraId="55EE7478" w14:textId="6D61844F" w:rsidR="0069327A" w:rsidRDefault="0054386E" w:rsidP="0054386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Член на научното жури:</w:t>
      </w:r>
    </w:p>
    <w:p w14:paraId="511DAAAF" w14:textId="7A29C946" w:rsidR="0054386E" w:rsidRDefault="0054386E" w:rsidP="0054386E">
      <w:pPr>
        <w:spacing w:line="360" w:lineRule="auto"/>
        <w:jc w:val="right"/>
        <w:rPr>
          <w:rFonts w:ascii="Arial" w:hAnsi="Arial" w:cs="Arial"/>
        </w:rPr>
      </w:pPr>
    </w:p>
    <w:p w14:paraId="301B6A22" w14:textId="184E1663" w:rsidR="0054386E" w:rsidRDefault="0054386E" w:rsidP="0054386E">
      <w:pPr>
        <w:spacing w:line="360" w:lineRule="auto"/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</w:t>
      </w:r>
      <w:r>
        <w:rPr>
          <w:rFonts w:ascii="Arial" w:hAnsi="Arial" w:cs="Arial"/>
        </w:rPr>
        <w:t>проф. д-р Йордан Баев</w:t>
      </w:r>
      <w:r>
        <w:rPr>
          <w:rFonts w:ascii="Arial" w:hAnsi="Arial" w:cs="Arial"/>
          <w:lang w:val="en-GB"/>
        </w:rPr>
        <w:t>)</w:t>
      </w:r>
    </w:p>
    <w:p w14:paraId="06BD8F89" w14:textId="3628F815" w:rsidR="0054386E" w:rsidRPr="0054386E" w:rsidRDefault="0054386E" w:rsidP="005438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-GB"/>
        </w:rPr>
        <w:t>05</w:t>
      </w:r>
      <w:r>
        <w:rPr>
          <w:rFonts w:ascii="Arial" w:hAnsi="Arial" w:cs="Arial"/>
        </w:rPr>
        <w:t>. 02. 2020 г.</w:t>
      </w:r>
    </w:p>
    <w:p w14:paraId="604743CE" w14:textId="77777777" w:rsidR="00563977" w:rsidRPr="00563977" w:rsidRDefault="00563977" w:rsidP="00F762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9012F99" w14:textId="77777777" w:rsidR="00FC0302" w:rsidRDefault="00FC0302" w:rsidP="00F762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D8BBA6E" w14:textId="77777777" w:rsidR="00306AB6" w:rsidRDefault="00306AB6" w:rsidP="00F7623D">
      <w:pPr>
        <w:jc w:val="both"/>
      </w:pPr>
    </w:p>
    <w:p w14:paraId="647BCA20" w14:textId="77777777" w:rsidR="00DD1A1A" w:rsidRDefault="00DD1A1A">
      <w:r>
        <w:tab/>
      </w:r>
    </w:p>
    <w:sectPr w:rsidR="00DD1A1A" w:rsidSect="008F2A5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63185" w14:textId="77777777" w:rsidR="00EE77CC" w:rsidRDefault="00EE77CC" w:rsidP="008F2A5F">
      <w:r>
        <w:separator/>
      </w:r>
    </w:p>
  </w:endnote>
  <w:endnote w:type="continuationSeparator" w:id="0">
    <w:p w14:paraId="60EF73AD" w14:textId="77777777" w:rsidR="00EE77CC" w:rsidRDefault="00EE77CC" w:rsidP="008F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5810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D34E6B" w14:textId="77777777" w:rsidR="008F2A5F" w:rsidRDefault="008F2A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741DA9" w14:textId="77777777" w:rsidR="008F2A5F" w:rsidRDefault="008F2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03A87" w14:textId="77777777" w:rsidR="00EE77CC" w:rsidRDefault="00EE77CC" w:rsidP="008F2A5F">
      <w:r>
        <w:separator/>
      </w:r>
    </w:p>
  </w:footnote>
  <w:footnote w:type="continuationSeparator" w:id="0">
    <w:p w14:paraId="5A658D2E" w14:textId="77777777" w:rsidR="00EE77CC" w:rsidRDefault="00EE77CC" w:rsidP="008F2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1A"/>
    <w:rsid w:val="000F44FC"/>
    <w:rsid w:val="00186B47"/>
    <w:rsid w:val="001E044C"/>
    <w:rsid w:val="0023213D"/>
    <w:rsid w:val="00272EA0"/>
    <w:rsid w:val="0029654B"/>
    <w:rsid w:val="002D40C6"/>
    <w:rsid w:val="00306AB6"/>
    <w:rsid w:val="003674EB"/>
    <w:rsid w:val="003932E5"/>
    <w:rsid w:val="00434704"/>
    <w:rsid w:val="00455991"/>
    <w:rsid w:val="004F4EBD"/>
    <w:rsid w:val="0054386E"/>
    <w:rsid w:val="00563977"/>
    <w:rsid w:val="00571C78"/>
    <w:rsid w:val="0059445E"/>
    <w:rsid w:val="00684B3E"/>
    <w:rsid w:val="0069327A"/>
    <w:rsid w:val="006F5798"/>
    <w:rsid w:val="0077397E"/>
    <w:rsid w:val="00773CAF"/>
    <w:rsid w:val="0078213D"/>
    <w:rsid w:val="007904AA"/>
    <w:rsid w:val="007974AE"/>
    <w:rsid w:val="007B74E5"/>
    <w:rsid w:val="007E7588"/>
    <w:rsid w:val="008025A2"/>
    <w:rsid w:val="00855BCF"/>
    <w:rsid w:val="008812FD"/>
    <w:rsid w:val="008A2A80"/>
    <w:rsid w:val="008C7D6B"/>
    <w:rsid w:val="008D2B91"/>
    <w:rsid w:val="008E1667"/>
    <w:rsid w:val="008E1B21"/>
    <w:rsid w:val="008F2A5F"/>
    <w:rsid w:val="009331B1"/>
    <w:rsid w:val="00961E7C"/>
    <w:rsid w:val="00A331C4"/>
    <w:rsid w:val="00A6212F"/>
    <w:rsid w:val="00AC08BF"/>
    <w:rsid w:val="00CC62C0"/>
    <w:rsid w:val="00D41C05"/>
    <w:rsid w:val="00D75595"/>
    <w:rsid w:val="00D815F8"/>
    <w:rsid w:val="00DD1A1A"/>
    <w:rsid w:val="00E04BF5"/>
    <w:rsid w:val="00E34205"/>
    <w:rsid w:val="00ED2C80"/>
    <w:rsid w:val="00EE77CC"/>
    <w:rsid w:val="00F7623D"/>
    <w:rsid w:val="00FC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D6A59"/>
  <w15:chartTrackingRefBased/>
  <w15:docId w15:val="{DEC69C7B-56E1-4361-83AA-6D4DA474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D2B91"/>
    <w:pPr>
      <w:jc w:val="both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B9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2A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A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A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A5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55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5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55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2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lsoncenter.org/blog-post/all-feasible-mean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9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Baev</dc:creator>
  <cp:keywords/>
  <dc:description/>
  <cp:lastModifiedBy>Jordan Baev</cp:lastModifiedBy>
  <cp:revision>7</cp:revision>
  <dcterms:created xsi:type="dcterms:W3CDTF">2019-12-29T09:59:00Z</dcterms:created>
  <dcterms:modified xsi:type="dcterms:W3CDTF">2020-02-05T17:42:00Z</dcterms:modified>
</cp:coreProperties>
</file>