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1982576324"/>
        <w:docPartObj>
          <w:docPartGallery w:val="Cover Pages"/>
          <w:docPartUnique/>
        </w:docPartObj>
      </w:sdtPr>
      <w:sdtEndPr>
        <w:rPr>
          <w:caps/>
          <w:color w:val="5B9BD5" w:themeColor="accent1"/>
        </w:rPr>
      </w:sdtEndPr>
      <w:sdtContent>
        <w:p w:rsidR="00BE61E5" w:rsidRPr="00D6579F" w:rsidRDefault="00BE61E5">
          <w:pPr>
            <w:rPr>
              <w:rFonts w:ascii="Times New Roman" w:hAnsi="Times New Roman" w:cs="Times New Roman"/>
              <w:sz w:val="24"/>
              <w:szCs w:val="24"/>
            </w:rPr>
          </w:pPr>
          <w:r w:rsidRPr="00D6579F">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61E5" w:rsidRPr="00BE61E5" w:rsidRDefault="00BE61E5">
                                  <w:pPr>
                                    <w:pStyle w:val="NoSpacing"/>
                                    <w:spacing w:before="120"/>
                                    <w:jc w:val="center"/>
                                    <w:rPr>
                                      <w:rFonts w:ascii="Times New Roman" w:hAnsi="Times New Roman" w:cs="Times New Roman"/>
                                      <w:color w:val="FFFFFF" w:themeColor="background1"/>
                                      <w:sz w:val="28"/>
                                      <w:szCs w:val="28"/>
                                      <w:lang w:val="bg-BG"/>
                                    </w:rPr>
                                  </w:pPr>
                                  <w:r w:rsidRPr="00BE61E5">
                                    <w:rPr>
                                      <w:rFonts w:ascii="Times New Roman" w:hAnsi="Times New Roman" w:cs="Times New Roman"/>
                                      <w:color w:val="FFFFFF" w:themeColor="background1"/>
                                      <w:sz w:val="28"/>
                                      <w:szCs w:val="28"/>
                                      <w:lang w:val="bg-BG"/>
                                    </w:rPr>
                                    <w:t>Софийски университет „Св. Климент Охридски“</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aps/>
                                      <w:color w:val="5B9BD5" w:themeColor="accent1"/>
                                      <w:sz w:val="48"/>
                                      <w:szCs w:val="4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BE61E5" w:rsidRPr="00BE61E5" w:rsidRDefault="00BE61E5">
                                      <w:pPr>
                                        <w:pStyle w:val="NoSpacing"/>
                                        <w:jc w:val="center"/>
                                        <w:rPr>
                                          <w:rFonts w:asciiTheme="majorHAnsi" w:eastAsiaTheme="majorEastAsia" w:hAnsiTheme="majorHAnsi" w:cstheme="majorBidi"/>
                                          <w:caps/>
                                          <w:color w:val="5B9BD5" w:themeColor="accent1"/>
                                          <w:sz w:val="48"/>
                                          <w:szCs w:val="48"/>
                                        </w:rPr>
                                      </w:pPr>
                                      <w:r w:rsidRPr="00BE61E5">
                                        <w:rPr>
                                          <w:rFonts w:ascii="Times New Roman" w:eastAsiaTheme="majorEastAsia" w:hAnsi="Times New Roman" w:cs="Times New Roman"/>
                                          <w:caps/>
                                          <w:color w:val="5B9BD5" w:themeColor="accent1"/>
                                          <w:sz w:val="48"/>
                                          <w:szCs w:val="48"/>
                                        </w:rPr>
                                        <w:t>Насоки за канд</w:t>
                                      </w:r>
                                      <w:r>
                                        <w:rPr>
                                          <w:rFonts w:ascii="Times New Roman" w:eastAsiaTheme="majorEastAsia" w:hAnsi="Times New Roman" w:cs="Times New Roman"/>
                                          <w:caps/>
                                          <w:color w:val="5B9BD5" w:themeColor="accent1"/>
                                          <w:sz w:val="48"/>
                                          <w:szCs w:val="48"/>
                                        </w:rPr>
                                        <w:t xml:space="preserve">идатстване, изпълнение и отчитане </w:t>
                                      </w:r>
                                      <w:r w:rsidRPr="00BE61E5">
                                        <w:rPr>
                                          <w:rFonts w:ascii="Times New Roman" w:eastAsiaTheme="majorEastAsia" w:hAnsi="Times New Roman" w:cs="Times New Roman"/>
                                          <w:caps/>
                                          <w:color w:val="5B9BD5" w:themeColor="accent1"/>
                                          <w:sz w:val="48"/>
                                          <w:szCs w:val="48"/>
                                        </w:rPr>
                                        <w:t>на проектите, финансирани целево от държавния бюджет</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e="http://schemas.microsoft.com/office/word/2015/wordml/symex" xmlns:cx1="http://schemas.microsoft.com/office/drawing/2015/9/8/chartex" xmlns:cx="http://schemas.microsoft.com/office/drawing/2014/chartex">
                <w:pict>
                  <v:group id="Group 193" o:spid="_x0000_s1026" style="position:absolute;margin-left:0;margin-top:0;width:540.55pt;height:718.4pt;z-index:-25165516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BE61E5" w:rsidRPr="00BE61E5" w:rsidRDefault="00BE61E5">
                            <w:pPr>
                              <w:pStyle w:val="NoSpacing"/>
                              <w:spacing w:before="120"/>
                              <w:jc w:val="center"/>
                              <w:rPr>
                                <w:rFonts w:ascii="Times New Roman" w:hAnsi="Times New Roman" w:cs="Times New Roman"/>
                                <w:color w:val="FFFFFF" w:themeColor="background1"/>
                                <w:sz w:val="28"/>
                                <w:szCs w:val="28"/>
                                <w:lang w:val="bg-BG"/>
                              </w:rPr>
                            </w:pPr>
                            <w:r w:rsidRPr="00BE61E5">
                              <w:rPr>
                                <w:rFonts w:ascii="Times New Roman" w:hAnsi="Times New Roman" w:cs="Times New Roman"/>
                                <w:color w:val="FFFFFF" w:themeColor="background1"/>
                                <w:sz w:val="28"/>
                                <w:szCs w:val="28"/>
                                <w:lang w:val="bg-BG"/>
                              </w:rPr>
                              <w:t>Софийски университет „Св. Климент Охридски“</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heme="majorEastAsia" w:hAnsi="Times New Roman" w:cs="Times New Roman"/>
                                <w:caps/>
                                <w:color w:val="5B9BD5" w:themeColor="accent1"/>
                                <w:sz w:val="48"/>
                                <w:szCs w:val="48"/>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BE61E5" w:rsidRPr="00BE61E5" w:rsidRDefault="00BE61E5">
                                <w:pPr>
                                  <w:pStyle w:val="NoSpacing"/>
                                  <w:jc w:val="center"/>
                                  <w:rPr>
                                    <w:rFonts w:asciiTheme="majorHAnsi" w:eastAsiaTheme="majorEastAsia" w:hAnsiTheme="majorHAnsi" w:cstheme="majorBidi"/>
                                    <w:caps/>
                                    <w:color w:val="5B9BD5" w:themeColor="accent1"/>
                                    <w:sz w:val="48"/>
                                    <w:szCs w:val="48"/>
                                  </w:rPr>
                                </w:pPr>
                                <w:r w:rsidRPr="00BE61E5">
                                  <w:rPr>
                                    <w:rFonts w:ascii="Times New Roman" w:eastAsiaTheme="majorEastAsia" w:hAnsi="Times New Roman" w:cs="Times New Roman"/>
                                    <w:caps/>
                                    <w:color w:val="5B9BD5" w:themeColor="accent1"/>
                                    <w:sz w:val="48"/>
                                    <w:szCs w:val="48"/>
                                  </w:rPr>
                                  <w:t>Насоки за канд</w:t>
                                </w:r>
                                <w:r>
                                  <w:rPr>
                                    <w:rFonts w:ascii="Times New Roman" w:eastAsiaTheme="majorEastAsia" w:hAnsi="Times New Roman" w:cs="Times New Roman"/>
                                    <w:caps/>
                                    <w:color w:val="5B9BD5" w:themeColor="accent1"/>
                                    <w:sz w:val="48"/>
                                    <w:szCs w:val="48"/>
                                  </w:rPr>
                                  <w:t xml:space="preserve">идатстване, изпълнение и отчитане </w:t>
                                </w:r>
                                <w:r w:rsidRPr="00BE61E5">
                                  <w:rPr>
                                    <w:rFonts w:ascii="Times New Roman" w:eastAsiaTheme="majorEastAsia" w:hAnsi="Times New Roman" w:cs="Times New Roman"/>
                                    <w:caps/>
                                    <w:color w:val="5B9BD5" w:themeColor="accent1"/>
                                    <w:sz w:val="48"/>
                                    <w:szCs w:val="48"/>
                                  </w:rPr>
                                  <w:t>на проектите, финансирани целево от държавния бюджет</w:t>
                                </w:r>
                              </w:p>
                            </w:sdtContent>
                          </w:sdt>
                        </w:txbxContent>
                      </v:textbox>
                    </v:shape>
                    <w10:wrap anchorx="page" anchory="page"/>
                  </v:group>
                </w:pict>
              </mc:Fallback>
            </mc:AlternateContent>
          </w:r>
        </w:p>
        <w:p w:rsidR="00BE61E5" w:rsidRPr="00D6579F" w:rsidRDefault="00BE61E5">
          <w:pPr>
            <w:rPr>
              <w:rFonts w:ascii="Times New Roman" w:hAnsi="Times New Roman" w:cs="Times New Roman"/>
              <w:caps/>
              <w:color w:val="5B9BD5" w:themeColor="accent1"/>
              <w:sz w:val="24"/>
              <w:szCs w:val="24"/>
            </w:rPr>
          </w:pPr>
          <w:r w:rsidRPr="00D6579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page">
                      <wp:posOffset>228600</wp:posOffset>
                    </wp:positionH>
                    <wp:positionV relativeFrom="page">
                      <wp:posOffset>1219200</wp:posOffset>
                    </wp:positionV>
                    <wp:extent cx="7315200" cy="32004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20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61E5" w:rsidRDefault="00BE61E5">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4" o:spid="_x0000_s1030" type="#_x0000_t202" style="position:absolute;margin-left:18pt;margin-top:96pt;width:8in;height:252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" filled="f" stroked="f" strokeweight=".5pt">
                    <v:textbox inset="126pt,0,54pt,0">
                      <w:txbxContent>
                        <w:p w:rsidR="00BE61E5" w:rsidRDefault="00BE61E5">
                          <w:pPr>
                            <w:jc w:val="right"/>
                            <w:rPr>
                              <w:smallCaps/>
                              <w:color w:val="404040" w:themeColor="text1" w:themeTint="BF"/>
                              <w:sz w:val="36"/>
                              <w:szCs w:val="36"/>
                            </w:rPr>
                          </w:pPr>
                        </w:p>
                      </w:txbxContent>
                    </v:textbox>
                    <w10:wrap type="square" anchorx="page" anchory="page"/>
                  </v:shape>
                </w:pict>
              </mc:Fallback>
            </mc:AlternateContent>
          </w:r>
        </w:p>
      </w:sdtContent>
    </w:sdt>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sdt>
      <w:sdtPr>
        <w:rPr>
          <w:rFonts w:ascii="Times New Roman" w:eastAsiaTheme="minorHAnsi" w:hAnsi="Times New Roman" w:cs="Times New Roman"/>
          <w:color w:val="auto"/>
          <w:sz w:val="24"/>
          <w:szCs w:val="24"/>
        </w:rPr>
        <w:id w:val="-66884092"/>
        <w:docPartObj>
          <w:docPartGallery w:val="Table of Contents"/>
          <w:docPartUnique/>
        </w:docPartObj>
      </w:sdtPr>
      <w:sdtEndPr>
        <w:rPr>
          <w:b/>
          <w:bCs/>
          <w:noProof/>
        </w:rPr>
      </w:sdtEndPr>
      <w:sdtContent>
        <w:p w:rsidR="00B85DDA" w:rsidRPr="00D6579F" w:rsidRDefault="00B85DDA" w:rsidP="00B85DDA">
          <w:pPr>
            <w:pStyle w:val="TOCHeading"/>
            <w:jc w:val="center"/>
            <w:rPr>
              <w:rFonts w:ascii="Times New Roman" w:hAnsi="Times New Roman" w:cs="Times New Roman"/>
              <w:b/>
              <w:sz w:val="28"/>
              <w:szCs w:val="28"/>
              <w:lang w:val="bg-BG"/>
            </w:rPr>
          </w:pPr>
          <w:r w:rsidRPr="00D6579F">
            <w:rPr>
              <w:rFonts w:ascii="Times New Roman" w:hAnsi="Times New Roman" w:cs="Times New Roman"/>
              <w:b/>
              <w:sz w:val="28"/>
              <w:szCs w:val="28"/>
              <w:lang w:val="bg-BG"/>
            </w:rPr>
            <w:t>Съдържание</w:t>
          </w:r>
        </w:p>
        <w:p w:rsidR="00B85DDA" w:rsidRPr="00D6579F" w:rsidRDefault="00B85DDA" w:rsidP="00B85DDA">
          <w:pPr>
            <w:rPr>
              <w:rFonts w:ascii="Times New Roman" w:hAnsi="Times New Roman" w:cs="Times New Roman"/>
              <w:sz w:val="24"/>
              <w:szCs w:val="24"/>
              <w:lang w:val="bg-BG"/>
            </w:rPr>
          </w:pPr>
        </w:p>
        <w:p w:rsidR="00B85DDA" w:rsidRPr="00D6579F" w:rsidRDefault="00B85DDA">
          <w:pPr>
            <w:pStyle w:val="TOC1"/>
            <w:tabs>
              <w:tab w:val="right" w:leader="dot" w:pos="10700"/>
            </w:tabs>
            <w:rPr>
              <w:rFonts w:ascii="Times New Roman" w:eastAsiaTheme="minorEastAsia" w:hAnsi="Times New Roman" w:cs="Times New Roman"/>
              <w:noProof/>
              <w:sz w:val="24"/>
              <w:szCs w:val="24"/>
            </w:rPr>
          </w:pPr>
          <w:r w:rsidRPr="00D6579F">
            <w:rPr>
              <w:rFonts w:ascii="Times New Roman" w:hAnsi="Times New Roman" w:cs="Times New Roman"/>
              <w:b/>
              <w:bCs/>
              <w:noProof/>
              <w:sz w:val="24"/>
              <w:szCs w:val="24"/>
            </w:rPr>
            <w:fldChar w:fldCharType="begin"/>
          </w:r>
          <w:r w:rsidRPr="00D6579F">
            <w:rPr>
              <w:rFonts w:ascii="Times New Roman" w:hAnsi="Times New Roman" w:cs="Times New Roman"/>
              <w:b/>
              <w:bCs/>
              <w:noProof/>
              <w:sz w:val="24"/>
              <w:szCs w:val="24"/>
            </w:rPr>
            <w:instrText xml:space="preserve"> TOC \o "1-3" \h \z \u </w:instrText>
          </w:r>
          <w:r w:rsidRPr="00D6579F">
            <w:rPr>
              <w:rFonts w:ascii="Times New Roman" w:hAnsi="Times New Roman" w:cs="Times New Roman"/>
              <w:b/>
              <w:bCs/>
              <w:noProof/>
              <w:sz w:val="24"/>
              <w:szCs w:val="24"/>
            </w:rPr>
            <w:fldChar w:fldCharType="separate"/>
          </w:r>
          <w:hyperlink w:anchor="_Toc36023084" w:history="1">
            <w:r w:rsidRPr="00D6579F">
              <w:rPr>
                <w:rStyle w:val="Hyperlink"/>
                <w:rFonts w:ascii="Times New Roman" w:hAnsi="Times New Roman" w:cs="Times New Roman"/>
                <w:b/>
                <w:noProof/>
                <w:sz w:val="24"/>
                <w:szCs w:val="24"/>
                <w:lang w:val="bg-BG"/>
              </w:rPr>
              <w:t>Приложими дефиниции:</w:t>
            </w:r>
            <w:r w:rsidRPr="00D6579F">
              <w:rPr>
                <w:rFonts w:ascii="Times New Roman" w:hAnsi="Times New Roman" w:cs="Times New Roman"/>
                <w:noProof/>
                <w:webHidden/>
                <w:sz w:val="24"/>
                <w:szCs w:val="24"/>
              </w:rPr>
              <w:tab/>
            </w:r>
            <w:r w:rsidRPr="00D6579F">
              <w:rPr>
                <w:rFonts w:ascii="Times New Roman" w:hAnsi="Times New Roman" w:cs="Times New Roman"/>
                <w:noProof/>
                <w:webHidden/>
                <w:sz w:val="24"/>
                <w:szCs w:val="24"/>
              </w:rPr>
              <w:fldChar w:fldCharType="begin"/>
            </w:r>
            <w:r w:rsidRPr="00D6579F">
              <w:rPr>
                <w:rFonts w:ascii="Times New Roman" w:hAnsi="Times New Roman" w:cs="Times New Roman"/>
                <w:noProof/>
                <w:webHidden/>
                <w:sz w:val="24"/>
                <w:szCs w:val="24"/>
              </w:rPr>
              <w:instrText xml:space="preserve"> PAGEREF _Toc36023084 \h </w:instrText>
            </w:r>
            <w:r w:rsidRPr="00D6579F">
              <w:rPr>
                <w:rFonts w:ascii="Times New Roman" w:hAnsi="Times New Roman" w:cs="Times New Roman"/>
                <w:noProof/>
                <w:webHidden/>
                <w:sz w:val="24"/>
                <w:szCs w:val="24"/>
              </w:rPr>
            </w:r>
            <w:r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4</w:t>
            </w:r>
            <w:r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440"/>
              <w:tab w:val="right" w:leader="dot" w:pos="10700"/>
            </w:tabs>
            <w:rPr>
              <w:rFonts w:ascii="Times New Roman" w:eastAsiaTheme="minorEastAsia" w:hAnsi="Times New Roman" w:cs="Times New Roman"/>
              <w:noProof/>
              <w:sz w:val="24"/>
              <w:szCs w:val="24"/>
            </w:rPr>
          </w:pPr>
          <w:hyperlink w:anchor="_Toc36023085" w:history="1">
            <w:r w:rsidR="00B85DDA" w:rsidRPr="00D6579F">
              <w:rPr>
                <w:rStyle w:val="Hyperlink"/>
                <w:rFonts w:ascii="Times New Roman" w:hAnsi="Times New Roman" w:cs="Times New Roman"/>
                <w:b/>
                <w:noProof/>
                <w:sz w:val="24"/>
                <w:szCs w:val="24"/>
                <w:lang w:val="bg-BG"/>
              </w:rPr>
              <w:t>1.</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b/>
                <w:noProof/>
                <w:sz w:val="24"/>
                <w:szCs w:val="24"/>
                <w:lang w:val="bg-BG"/>
              </w:rPr>
              <w:t>Обща информация за конкурса</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_Toc36023085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5</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660"/>
              <w:tab w:val="right" w:leader="dot" w:pos="10700"/>
            </w:tabs>
            <w:rPr>
              <w:rFonts w:ascii="Times New Roman" w:eastAsiaTheme="minorEastAsia" w:hAnsi="Times New Roman" w:cs="Times New Roman"/>
              <w:noProof/>
              <w:sz w:val="24"/>
              <w:szCs w:val="24"/>
            </w:rPr>
          </w:pPr>
          <w:hyperlink w:anchor="_Toc36023086" w:history="1">
            <w:r w:rsidR="00B85DDA" w:rsidRPr="00D6579F">
              <w:rPr>
                <w:rStyle w:val="Hyperlink"/>
                <w:rFonts w:ascii="Times New Roman" w:hAnsi="Times New Roman" w:cs="Times New Roman"/>
                <w:noProof/>
                <w:sz w:val="24"/>
                <w:szCs w:val="24"/>
                <w:lang w:val="bg-BG"/>
              </w:rPr>
              <w:t>1.1.</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noProof/>
                <w:sz w:val="24"/>
                <w:szCs w:val="24"/>
                <w:lang w:val="bg-BG"/>
              </w:rPr>
              <w:t>Финансова информация</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_Toc36023086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5</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660"/>
              <w:tab w:val="right" w:leader="dot" w:pos="10700"/>
            </w:tabs>
            <w:rPr>
              <w:rFonts w:ascii="Times New Roman" w:eastAsiaTheme="minorEastAsia" w:hAnsi="Times New Roman" w:cs="Times New Roman"/>
              <w:noProof/>
              <w:sz w:val="24"/>
              <w:szCs w:val="24"/>
            </w:rPr>
          </w:pPr>
          <w:hyperlink w:anchor="_Toc36023087" w:history="1">
            <w:r w:rsidR="00B85DDA" w:rsidRPr="00D6579F">
              <w:rPr>
                <w:rStyle w:val="Hyperlink"/>
                <w:rFonts w:ascii="Times New Roman" w:hAnsi="Times New Roman" w:cs="Times New Roman"/>
                <w:noProof/>
                <w:sz w:val="24"/>
                <w:szCs w:val="24"/>
                <w:lang w:val="bg-BG"/>
              </w:rPr>
              <w:t>1.2.</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noProof/>
                <w:sz w:val="24"/>
                <w:szCs w:val="24"/>
                <w:lang w:val="bg-BG"/>
              </w:rPr>
              <w:t>Критерии за допустимост</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_Toc36023087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5</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880"/>
              <w:tab w:val="right" w:leader="dot" w:pos="10700"/>
            </w:tabs>
            <w:rPr>
              <w:rFonts w:ascii="Times New Roman" w:eastAsiaTheme="minorEastAsia" w:hAnsi="Times New Roman" w:cs="Times New Roman"/>
              <w:noProof/>
              <w:sz w:val="24"/>
              <w:szCs w:val="24"/>
            </w:rPr>
          </w:pPr>
          <w:hyperlink w:anchor="_Toc36023088" w:history="1">
            <w:r w:rsidR="00B85DDA" w:rsidRPr="00D6579F">
              <w:rPr>
                <w:rStyle w:val="Hyperlink"/>
                <w:rFonts w:ascii="Times New Roman" w:hAnsi="Times New Roman" w:cs="Times New Roman"/>
                <w:noProof/>
                <w:sz w:val="24"/>
                <w:szCs w:val="24"/>
                <w:lang w:val="bg-BG"/>
              </w:rPr>
              <w:t>1.2.1.</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noProof/>
                <w:sz w:val="24"/>
                <w:szCs w:val="24"/>
                <w:lang w:val="bg-BG"/>
              </w:rPr>
              <w:t>Изисквания към ръководителите:</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_Toc36023088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5</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880"/>
              <w:tab w:val="right" w:leader="dot" w:pos="10700"/>
            </w:tabs>
            <w:rPr>
              <w:rFonts w:ascii="Times New Roman" w:eastAsiaTheme="minorEastAsia" w:hAnsi="Times New Roman" w:cs="Times New Roman"/>
              <w:noProof/>
              <w:sz w:val="24"/>
              <w:szCs w:val="24"/>
            </w:rPr>
          </w:pPr>
          <w:hyperlink w:anchor="_Toc36023089" w:history="1">
            <w:r w:rsidR="00B85DDA" w:rsidRPr="00D6579F">
              <w:rPr>
                <w:rStyle w:val="Hyperlink"/>
                <w:rFonts w:ascii="Times New Roman" w:hAnsi="Times New Roman" w:cs="Times New Roman"/>
                <w:noProof/>
                <w:sz w:val="24"/>
                <w:szCs w:val="24"/>
                <w:lang w:val="bg-BG"/>
              </w:rPr>
              <w:t>1.2.2.</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noProof/>
                <w:sz w:val="24"/>
                <w:szCs w:val="24"/>
                <w:lang w:val="bg-BG"/>
              </w:rPr>
              <w:t>Изисквания към членовете на екипа:</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_Toc36023089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6</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880"/>
              <w:tab w:val="right" w:leader="dot" w:pos="10700"/>
            </w:tabs>
            <w:rPr>
              <w:rFonts w:ascii="Times New Roman" w:eastAsiaTheme="minorEastAsia" w:hAnsi="Times New Roman" w:cs="Times New Roman"/>
              <w:noProof/>
              <w:sz w:val="24"/>
              <w:szCs w:val="24"/>
            </w:rPr>
          </w:pPr>
          <w:hyperlink w:anchor="_Toc36023090" w:history="1">
            <w:r w:rsidR="00B85DDA" w:rsidRPr="00D6579F">
              <w:rPr>
                <w:rStyle w:val="Hyperlink"/>
                <w:rFonts w:ascii="Times New Roman" w:hAnsi="Times New Roman" w:cs="Times New Roman"/>
                <w:noProof/>
                <w:sz w:val="24"/>
                <w:szCs w:val="24"/>
              </w:rPr>
              <w:t>1.2.3.</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noProof/>
                <w:sz w:val="24"/>
                <w:szCs w:val="24"/>
              </w:rPr>
              <w:t>Критерии за допустимост на проектните предложения</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_Toc36023090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6</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440"/>
              <w:tab w:val="right" w:leader="dot" w:pos="10700"/>
            </w:tabs>
            <w:rPr>
              <w:rFonts w:ascii="Times New Roman" w:eastAsiaTheme="minorEastAsia" w:hAnsi="Times New Roman" w:cs="Times New Roman"/>
              <w:noProof/>
              <w:sz w:val="24"/>
              <w:szCs w:val="24"/>
            </w:rPr>
          </w:pPr>
          <w:hyperlink w:anchor="_Toc36023091" w:history="1">
            <w:r w:rsidR="00B85DDA" w:rsidRPr="00D6579F">
              <w:rPr>
                <w:rStyle w:val="Hyperlink"/>
                <w:rFonts w:ascii="Times New Roman" w:hAnsi="Times New Roman" w:cs="Times New Roman"/>
                <w:b/>
                <w:noProof/>
                <w:sz w:val="24"/>
                <w:szCs w:val="24"/>
                <w:lang w:val="bg-BG"/>
              </w:rPr>
              <w:t>2.</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b/>
                <w:noProof/>
                <w:sz w:val="24"/>
                <w:szCs w:val="24"/>
                <w:lang w:val="bg-BG"/>
              </w:rPr>
              <w:t>Кандидатстване</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_Toc36023091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6</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440"/>
              <w:tab w:val="right" w:leader="dot" w:pos="10700"/>
            </w:tabs>
            <w:rPr>
              <w:rFonts w:ascii="Times New Roman" w:eastAsiaTheme="minorEastAsia" w:hAnsi="Times New Roman" w:cs="Times New Roman"/>
              <w:noProof/>
              <w:sz w:val="24"/>
              <w:szCs w:val="24"/>
            </w:rPr>
          </w:pPr>
          <w:hyperlink w:anchor="_Toc36023092" w:history="1">
            <w:r w:rsidR="00B85DDA" w:rsidRPr="00D6579F">
              <w:rPr>
                <w:rStyle w:val="Hyperlink"/>
                <w:rFonts w:ascii="Times New Roman" w:hAnsi="Times New Roman" w:cs="Times New Roman"/>
                <w:b/>
                <w:noProof/>
                <w:sz w:val="24"/>
                <w:szCs w:val="24"/>
                <w:lang w:val="bg-BG"/>
              </w:rPr>
              <w:t>3.</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b/>
                <w:noProof/>
                <w:sz w:val="24"/>
                <w:szCs w:val="24"/>
                <w:lang w:val="bg-BG"/>
              </w:rPr>
              <w:t>Оценка на проектните предложения</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_Toc36023092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6</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right" w:leader="dot" w:pos="10700"/>
            </w:tabs>
            <w:rPr>
              <w:rFonts w:ascii="Times New Roman" w:eastAsiaTheme="minorEastAsia" w:hAnsi="Times New Roman" w:cs="Times New Roman"/>
              <w:noProof/>
              <w:sz w:val="24"/>
              <w:szCs w:val="24"/>
            </w:rPr>
          </w:pPr>
          <w:hyperlink w:anchor="_Toc36023093" w:history="1">
            <w:r w:rsidR="00B85DDA" w:rsidRPr="00D6579F">
              <w:rPr>
                <w:rStyle w:val="Hyperlink"/>
                <w:rFonts w:ascii="Times New Roman" w:hAnsi="Times New Roman" w:cs="Times New Roman"/>
                <w:noProof/>
                <w:sz w:val="24"/>
                <w:szCs w:val="24"/>
                <w:lang w:val="bg-BG"/>
              </w:rPr>
              <w:t xml:space="preserve">3.1. </w:t>
            </w:r>
            <w:r w:rsidR="00B85DDA" w:rsidRPr="00D6579F">
              <w:rPr>
                <w:rStyle w:val="Hyperlink"/>
                <w:rFonts w:ascii="Times New Roman" w:hAnsi="Times New Roman" w:cs="Times New Roman"/>
                <w:noProof/>
                <w:sz w:val="24"/>
                <w:szCs w:val="24"/>
              </w:rPr>
              <w:t>Административно съответствие</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_Toc36023093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7</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right" w:leader="dot" w:pos="10700"/>
            </w:tabs>
            <w:rPr>
              <w:rFonts w:ascii="Times New Roman" w:eastAsiaTheme="minorEastAsia" w:hAnsi="Times New Roman" w:cs="Times New Roman"/>
              <w:noProof/>
              <w:sz w:val="24"/>
              <w:szCs w:val="24"/>
            </w:rPr>
          </w:pPr>
          <w:hyperlink w:anchor="_Toc36023094" w:history="1">
            <w:r w:rsidR="00B85DDA" w:rsidRPr="00D6579F">
              <w:rPr>
                <w:rStyle w:val="Hyperlink"/>
                <w:rFonts w:ascii="Times New Roman" w:hAnsi="Times New Roman" w:cs="Times New Roman"/>
                <w:noProof/>
                <w:sz w:val="24"/>
                <w:szCs w:val="24"/>
                <w:lang w:val="bg-BG"/>
              </w:rPr>
              <w:t>3.2. Научна оценка</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_Toc36023094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7</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right" w:leader="dot" w:pos="10700"/>
            </w:tabs>
            <w:rPr>
              <w:rFonts w:ascii="Times New Roman" w:eastAsiaTheme="minorEastAsia" w:hAnsi="Times New Roman" w:cs="Times New Roman"/>
              <w:noProof/>
              <w:sz w:val="24"/>
              <w:szCs w:val="24"/>
            </w:rPr>
          </w:pPr>
          <w:hyperlink w:anchor="_Toc36023095" w:history="1">
            <w:r w:rsidR="00B85DDA" w:rsidRPr="00D6579F">
              <w:rPr>
                <w:rStyle w:val="Hyperlink"/>
                <w:rFonts w:ascii="Times New Roman" w:hAnsi="Times New Roman" w:cs="Times New Roman"/>
                <w:noProof/>
                <w:sz w:val="24"/>
                <w:szCs w:val="24"/>
                <w:lang w:val="bg-BG"/>
              </w:rPr>
              <w:t>3.3. Класиране</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_Toc36023095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7</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440"/>
              <w:tab w:val="right" w:leader="dot" w:pos="10700"/>
            </w:tabs>
            <w:rPr>
              <w:rFonts w:ascii="Times New Roman" w:eastAsiaTheme="minorEastAsia" w:hAnsi="Times New Roman" w:cs="Times New Roman"/>
              <w:noProof/>
              <w:sz w:val="24"/>
              <w:szCs w:val="24"/>
            </w:rPr>
          </w:pPr>
          <w:hyperlink w:anchor="_Toc36023096" w:history="1">
            <w:r w:rsidR="00B85DDA" w:rsidRPr="00D6579F">
              <w:rPr>
                <w:rStyle w:val="Hyperlink"/>
                <w:rFonts w:ascii="Times New Roman" w:hAnsi="Times New Roman" w:cs="Times New Roman"/>
                <w:b/>
                <w:noProof/>
                <w:sz w:val="24"/>
                <w:szCs w:val="24"/>
                <w:lang w:val="bg-BG"/>
              </w:rPr>
              <w:t>4.</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b/>
                <w:noProof/>
                <w:sz w:val="24"/>
                <w:szCs w:val="24"/>
                <w:lang w:val="bg-BG"/>
              </w:rPr>
              <w:t>Изпълнение на проектите</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_Toc36023096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7</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660"/>
              <w:tab w:val="right" w:leader="dot" w:pos="10700"/>
            </w:tabs>
            <w:rPr>
              <w:rFonts w:ascii="Times New Roman" w:eastAsiaTheme="minorEastAsia" w:hAnsi="Times New Roman" w:cs="Times New Roman"/>
              <w:noProof/>
              <w:sz w:val="24"/>
              <w:szCs w:val="24"/>
            </w:rPr>
          </w:pPr>
          <w:hyperlink w:anchor="_Toc36023097" w:history="1">
            <w:r w:rsidR="00B85DDA" w:rsidRPr="00D6579F">
              <w:rPr>
                <w:rStyle w:val="Hyperlink"/>
                <w:rFonts w:ascii="Times New Roman" w:hAnsi="Times New Roman" w:cs="Times New Roman"/>
                <w:noProof/>
                <w:sz w:val="24"/>
                <w:szCs w:val="24"/>
                <w:lang w:val="bg-BG"/>
              </w:rPr>
              <w:t>4.1.</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noProof/>
                <w:sz w:val="24"/>
                <w:szCs w:val="24"/>
                <w:lang w:val="bg-BG"/>
              </w:rPr>
              <w:t>Сключване на договори</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_Toc36023097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7</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660"/>
              <w:tab w:val="right" w:leader="dot" w:pos="10700"/>
            </w:tabs>
            <w:rPr>
              <w:rFonts w:ascii="Times New Roman" w:eastAsiaTheme="minorEastAsia" w:hAnsi="Times New Roman" w:cs="Times New Roman"/>
              <w:noProof/>
              <w:sz w:val="24"/>
              <w:szCs w:val="24"/>
            </w:rPr>
          </w:pPr>
          <w:hyperlink w:anchor="_Toc36023098" w:history="1">
            <w:r w:rsidR="00B85DDA" w:rsidRPr="00D6579F">
              <w:rPr>
                <w:rStyle w:val="Hyperlink"/>
                <w:rFonts w:ascii="Times New Roman" w:hAnsi="Times New Roman" w:cs="Times New Roman"/>
                <w:noProof/>
                <w:sz w:val="24"/>
                <w:szCs w:val="24"/>
                <w:lang w:val="bg-BG"/>
              </w:rPr>
              <w:t>4.2.</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noProof/>
                <w:sz w:val="24"/>
                <w:szCs w:val="24"/>
                <w:lang w:val="bg-BG"/>
              </w:rPr>
              <w:t>Финансово изпълнение</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_Toc36023098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8</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880"/>
              <w:tab w:val="right" w:leader="dot" w:pos="10700"/>
            </w:tabs>
            <w:rPr>
              <w:rFonts w:ascii="Times New Roman" w:eastAsiaTheme="minorEastAsia" w:hAnsi="Times New Roman" w:cs="Times New Roman"/>
              <w:noProof/>
              <w:sz w:val="24"/>
              <w:szCs w:val="24"/>
            </w:rPr>
          </w:pPr>
          <w:hyperlink w:anchor="_Toc36023099" w:history="1">
            <w:r w:rsidR="00B85DDA" w:rsidRPr="00D6579F">
              <w:rPr>
                <w:rStyle w:val="Hyperlink"/>
                <w:rFonts w:ascii="Times New Roman" w:hAnsi="Times New Roman" w:cs="Times New Roman"/>
                <w:noProof/>
                <w:sz w:val="24"/>
                <w:szCs w:val="24"/>
                <w:lang w:val="bg-BG"/>
              </w:rPr>
              <w:t>4.2.1.</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noProof/>
                <w:sz w:val="24"/>
                <w:szCs w:val="24"/>
                <w:lang w:val="bg-BG"/>
              </w:rPr>
              <w:t>Разходване на средствата</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_Toc36023099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8</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880"/>
              <w:tab w:val="right" w:leader="dot" w:pos="10700"/>
            </w:tabs>
            <w:rPr>
              <w:rFonts w:ascii="Times New Roman" w:eastAsiaTheme="minorEastAsia" w:hAnsi="Times New Roman" w:cs="Times New Roman"/>
              <w:noProof/>
              <w:sz w:val="24"/>
              <w:szCs w:val="24"/>
            </w:rPr>
          </w:pPr>
          <w:hyperlink w:anchor="_Toc36023100" w:history="1">
            <w:r w:rsidR="00B85DDA" w:rsidRPr="00D6579F">
              <w:rPr>
                <w:rStyle w:val="Hyperlink"/>
                <w:rFonts w:ascii="Times New Roman" w:hAnsi="Times New Roman" w:cs="Times New Roman"/>
                <w:noProof/>
                <w:sz w:val="24"/>
                <w:szCs w:val="24"/>
                <w:lang w:val="bg-BG"/>
              </w:rPr>
              <w:t>4.2.2.</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noProof/>
                <w:sz w:val="24"/>
                <w:szCs w:val="24"/>
                <w:lang w:val="bg-BG"/>
              </w:rPr>
              <w:t>Допустимост на разходите</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_Toc36023100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13</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right" w:leader="dot" w:pos="10700"/>
            </w:tabs>
            <w:rPr>
              <w:rFonts w:ascii="Times New Roman" w:eastAsiaTheme="minorEastAsia" w:hAnsi="Times New Roman" w:cs="Times New Roman"/>
              <w:noProof/>
              <w:sz w:val="24"/>
              <w:szCs w:val="24"/>
            </w:rPr>
          </w:pPr>
          <w:hyperlink w:anchor="_Toc36023101" w:history="1">
            <w:r w:rsidR="00B85DDA" w:rsidRPr="00D6579F">
              <w:rPr>
                <w:rStyle w:val="Hyperlink"/>
                <w:rFonts w:ascii="Times New Roman" w:hAnsi="Times New Roman" w:cs="Times New Roman"/>
                <w:noProof/>
                <w:sz w:val="24"/>
                <w:szCs w:val="24"/>
                <w:lang w:val="bg-BG"/>
              </w:rPr>
              <w:t>4.2.3 Промени в бюджета</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_Toc36023101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13</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660"/>
              <w:tab w:val="right" w:leader="dot" w:pos="10700"/>
            </w:tabs>
            <w:rPr>
              <w:rFonts w:ascii="Times New Roman" w:eastAsiaTheme="minorEastAsia" w:hAnsi="Times New Roman" w:cs="Times New Roman"/>
              <w:noProof/>
              <w:sz w:val="24"/>
              <w:szCs w:val="24"/>
            </w:rPr>
          </w:pPr>
          <w:hyperlink w:anchor="_Toc36023102" w:history="1">
            <w:r w:rsidR="00B85DDA" w:rsidRPr="00D6579F">
              <w:rPr>
                <w:rStyle w:val="Hyperlink"/>
                <w:rFonts w:ascii="Times New Roman" w:hAnsi="Times New Roman" w:cs="Times New Roman"/>
                <w:noProof/>
                <w:sz w:val="24"/>
                <w:szCs w:val="24"/>
                <w:lang w:val="bg-BG"/>
              </w:rPr>
              <w:t>4.3.</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noProof/>
                <w:sz w:val="24"/>
                <w:szCs w:val="24"/>
                <w:lang w:val="bg-BG"/>
              </w:rPr>
              <w:t>Изпълнение на дейностите</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_Toc36023102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14</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440"/>
              <w:tab w:val="right" w:leader="dot" w:pos="10700"/>
            </w:tabs>
            <w:rPr>
              <w:rFonts w:ascii="Times New Roman" w:eastAsiaTheme="minorEastAsia" w:hAnsi="Times New Roman" w:cs="Times New Roman"/>
              <w:noProof/>
              <w:sz w:val="24"/>
              <w:szCs w:val="24"/>
            </w:rPr>
          </w:pPr>
          <w:hyperlink w:anchor="_Toc36023103" w:history="1">
            <w:r w:rsidR="00B85DDA" w:rsidRPr="00D6579F">
              <w:rPr>
                <w:rStyle w:val="Hyperlink"/>
                <w:rFonts w:ascii="Times New Roman" w:hAnsi="Times New Roman" w:cs="Times New Roman"/>
                <w:b/>
                <w:noProof/>
                <w:sz w:val="24"/>
                <w:szCs w:val="24"/>
                <w:lang w:val="bg-BG"/>
              </w:rPr>
              <w:t>5.</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b/>
                <w:noProof/>
                <w:sz w:val="24"/>
                <w:szCs w:val="24"/>
                <w:lang w:val="bg-BG"/>
              </w:rPr>
              <w:t>Отчитане на проектите и оценка на резултатите</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_Toc36023103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14</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660"/>
              <w:tab w:val="right" w:leader="dot" w:pos="10700"/>
            </w:tabs>
            <w:rPr>
              <w:rFonts w:ascii="Times New Roman" w:eastAsiaTheme="minorEastAsia" w:hAnsi="Times New Roman" w:cs="Times New Roman"/>
              <w:noProof/>
              <w:sz w:val="24"/>
              <w:szCs w:val="24"/>
            </w:rPr>
          </w:pPr>
          <w:hyperlink w:anchor="_Toc36023104" w:history="1">
            <w:r w:rsidR="00B85DDA" w:rsidRPr="00D6579F">
              <w:rPr>
                <w:rStyle w:val="Hyperlink"/>
                <w:rFonts w:ascii="Times New Roman" w:hAnsi="Times New Roman" w:cs="Times New Roman"/>
                <w:noProof/>
                <w:sz w:val="24"/>
                <w:szCs w:val="24"/>
                <w:lang w:val="bg-BG"/>
              </w:rPr>
              <w:t>5.1.</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noProof/>
                <w:sz w:val="24"/>
                <w:szCs w:val="24"/>
                <w:lang w:val="bg-BG"/>
              </w:rPr>
              <w:t>Отчитане</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_Toc36023104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14</w:t>
            </w:r>
            <w:r w:rsidR="00B85DDA" w:rsidRPr="00D6579F">
              <w:rPr>
                <w:rFonts w:ascii="Times New Roman" w:hAnsi="Times New Roman" w:cs="Times New Roman"/>
                <w:noProof/>
                <w:webHidden/>
                <w:sz w:val="24"/>
                <w:szCs w:val="24"/>
              </w:rPr>
              <w:fldChar w:fldCharType="end"/>
            </w:r>
          </w:hyperlink>
        </w:p>
        <w:p w:rsidR="00B85DDA" w:rsidRPr="00D6579F" w:rsidRDefault="007C44DE">
          <w:pPr>
            <w:pStyle w:val="TOC1"/>
            <w:tabs>
              <w:tab w:val="left" w:pos="660"/>
              <w:tab w:val="right" w:leader="dot" w:pos="10700"/>
            </w:tabs>
            <w:rPr>
              <w:rFonts w:ascii="Times New Roman" w:eastAsiaTheme="minorEastAsia" w:hAnsi="Times New Roman" w:cs="Times New Roman"/>
              <w:noProof/>
              <w:sz w:val="24"/>
              <w:szCs w:val="24"/>
            </w:rPr>
          </w:pPr>
          <w:hyperlink w:anchor="_Toc36023105" w:history="1">
            <w:r w:rsidR="00B85DDA" w:rsidRPr="00D6579F">
              <w:rPr>
                <w:rStyle w:val="Hyperlink"/>
                <w:rFonts w:ascii="Times New Roman" w:hAnsi="Times New Roman" w:cs="Times New Roman"/>
                <w:noProof/>
                <w:sz w:val="24"/>
                <w:szCs w:val="24"/>
                <w:lang w:val="bg-BG"/>
              </w:rPr>
              <w:t>5.2.</w:t>
            </w:r>
            <w:r w:rsidR="00B85DDA" w:rsidRPr="00D6579F">
              <w:rPr>
                <w:rFonts w:ascii="Times New Roman" w:eastAsiaTheme="minorEastAsia" w:hAnsi="Times New Roman" w:cs="Times New Roman"/>
                <w:noProof/>
                <w:sz w:val="24"/>
                <w:szCs w:val="24"/>
              </w:rPr>
              <w:tab/>
            </w:r>
            <w:r w:rsidR="00B85DDA" w:rsidRPr="00D6579F">
              <w:rPr>
                <w:rStyle w:val="Hyperlink"/>
                <w:rFonts w:ascii="Times New Roman" w:hAnsi="Times New Roman" w:cs="Times New Roman"/>
                <w:noProof/>
                <w:sz w:val="24"/>
                <w:szCs w:val="24"/>
                <w:lang w:val="bg-BG"/>
              </w:rPr>
              <w:t>Оценка на резултатите</w:t>
            </w:r>
            <w:r w:rsidR="00B85DDA" w:rsidRPr="00D6579F">
              <w:rPr>
                <w:rFonts w:ascii="Times New Roman" w:hAnsi="Times New Roman" w:cs="Times New Roman"/>
                <w:noProof/>
                <w:webHidden/>
                <w:sz w:val="24"/>
                <w:szCs w:val="24"/>
              </w:rPr>
              <w:tab/>
            </w:r>
            <w:r w:rsidR="00B85DDA" w:rsidRPr="00D6579F">
              <w:rPr>
                <w:rFonts w:ascii="Times New Roman" w:hAnsi="Times New Roman" w:cs="Times New Roman"/>
                <w:noProof/>
                <w:webHidden/>
                <w:sz w:val="24"/>
                <w:szCs w:val="24"/>
              </w:rPr>
              <w:fldChar w:fldCharType="begin"/>
            </w:r>
            <w:r w:rsidR="00B85DDA" w:rsidRPr="00D6579F">
              <w:rPr>
                <w:rFonts w:ascii="Times New Roman" w:hAnsi="Times New Roman" w:cs="Times New Roman"/>
                <w:noProof/>
                <w:webHidden/>
                <w:sz w:val="24"/>
                <w:szCs w:val="24"/>
              </w:rPr>
              <w:instrText xml:space="preserve"> PAGEREF _Toc36023105 \h </w:instrText>
            </w:r>
            <w:r w:rsidR="00B85DDA" w:rsidRPr="00D6579F">
              <w:rPr>
                <w:rFonts w:ascii="Times New Roman" w:hAnsi="Times New Roman" w:cs="Times New Roman"/>
                <w:noProof/>
                <w:webHidden/>
                <w:sz w:val="24"/>
                <w:szCs w:val="24"/>
              </w:rPr>
            </w:r>
            <w:r w:rsidR="00B85DDA" w:rsidRPr="00D6579F">
              <w:rPr>
                <w:rFonts w:ascii="Times New Roman" w:hAnsi="Times New Roman" w:cs="Times New Roman"/>
                <w:noProof/>
                <w:webHidden/>
                <w:sz w:val="24"/>
                <w:szCs w:val="24"/>
              </w:rPr>
              <w:fldChar w:fldCharType="separate"/>
            </w:r>
            <w:r w:rsidR="00D61DDC" w:rsidRPr="00D6579F">
              <w:rPr>
                <w:rFonts w:ascii="Times New Roman" w:hAnsi="Times New Roman" w:cs="Times New Roman"/>
                <w:noProof/>
                <w:webHidden/>
                <w:sz w:val="24"/>
                <w:szCs w:val="24"/>
              </w:rPr>
              <w:t>15</w:t>
            </w:r>
            <w:r w:rsidR="00B85DDA" w:rsidRPr="00D6579F">
              <w:rPr>
                <w:rFonts w:ascii="Times New Roman" w:hAnsi="Times New Roman" w:cs="Times New Roman"/>
                <w:noProof/>
                <w:webHidden/>
                <w:sz w:val="24"/>
                <w:szCs w:val="24"/>
              </w:rPr>
              <w:fldChar w:fldCharType="end"/>
            </w:r>
          </w:hyperlink>
        </w:p>
        <w:p w:rsidR="00B85DDA" w:rsidRPr="00D6579F" w:rsidRDefault="00B85DDA">
          <w:pPr>
            <w:rPr>
              <w:rFonts w:ascii="Times New Roman" w:hAnsi="Times New Roman" w:cs="Times New Roman"/>
              <w:sz w:val="24"/>
              <w:szCs w:val="24"/>
            </w:rPr>
          </w:pPr>
          <w:r w:rsidRPr="00D6579F">
            <w:rPr>
              <w:rFonts w:ascii="Times New Roman" w:hAnsi="Times New Roman" w:cs="Times New Roman"/>
              <w:b/>
              <w:bCs/>
              <w:noProof/>
              <w:sz w:val="24"/>
              <w:szCs w:val="24"/>
            </w:rPr>
            <w:fldChar w:fldCharType="end"/>
          </w:r>
        </w:p>
      </w:sdtContent>
    </w:sdt>
    <w:p w:rsidR="00FF030C" w:rsidRPr="00D6579F" w:rsidRDefault="00FF030C" w:rsidP="00D244B7">
      <w:pPr>
        <w:pStyle w:val="Heading1"/>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FF030C" w:rsidRPr="00D6579F" w:rsidRDefault="00FF030C" w:rsidP="00415BF0">
      <w:pPr>
        <w:contextualSpacing/>
        <w:rPr>
          <w:rFonts w:ascii="Times New Roman" w:hAnsi="Times New Roman" w:cs="Times New Roman"/>
          <w:sz w:val="24"/>
          <w:szCs w:val="24"/>
          <w:lang w:val="bg-BG"/>
        </w:rPr>
      </w:pPr>
    </w:p>
    <w:p w:rsidR="00B6635E" w:rsidRPr="00D6579F" w:rsidRDefault="00B6635E" w:rsidP="00E33926">
      <w:pPr>
        <w:ind w:right="173"/>
        <w:contextualSpacing/>
        <w:rPr>
          <w:rFonts w:ascii="Times New Roman" w:hAnsi="Times New Roman" w:cs="Times New Roman"/>
          <w:sz w:val="24"/>
          <w:szCs w:val="24"/>
          <w:lang w:val="bg-BG"/>
        </w:rPr>
        <w:sectPr w:rsidR="00B6635E" w:rsidRPr="00D6579F" w:rsidSect="00BE61E5">
          <w:footerReference w:type="default" r:id="rId8"/>
          <w:type w:val="continuous"/>
          <w:pgSz w:w="12240" w:h="15840"/>
          <w:pgMar w:top="720" w:right="907" w:bottom="1440" w:left="720" w:header="720" w:footer="720" w:gutter="0"/>
          <w:pgNumType w:start="0"/>
          <w:cols w:space="720"/>
          <w:titlePg/>
          <w:docGrid w:linePitch="360"/>
        </w:sectPr>
      </w:pPr>
    </w:p>
    <w:p w:rsidR="00415BF0" w:rsidRPr="00D6579F" w:rsidRDefault="00415BF0" w:rsidP="00D244B7">
      <w:pPr>
        <w:pStyle w:val="Heading1"/>
        <w:rPr>
          <w:rFonts w:ascii="Times New Roman" w:hAnsi="Times New Roman" w:cs="Times New Roman"/>
          <w:b/>
          <w:sz w:val="24"/>
          <w:szCs w:val="24"/>
          <w:lang w:val="bg-BG"/>
        </w:rPr>
      </w:pPr>
      <w:bookmarkStart w:id="0" w:name="_Toc36023084"/>
      <w:r w:rsidRPr="00D6579F">
        <w:rPr>
          <w:rFonts w:ascii="Times New Roman" w:hAnsi="Times New Roman" w:cs="Times New Roman"/>
          <w:b/>
          <w:sz w:val="24"/>
          <w:szCs w:val="24"/>
          <w:lang w:val="bg-BG"/>
        </w:rPr>
        <w:lastRenderedPageBreak/>
        <w:t>Приложими дефиниции:</w:t>
      </w:r>
      <w:bookmarkEnd w:id="0"/>
    </w:p>
    <w:p w:rsidR="00415BF0" w:rsidRPr="00D6579F" w:rsidRDefault="00415BF0" w:rsidP="00415BF0">
      <w:pPr>
        <w:contextualSpacing/>
        <w:rPr>
          <w:rFonts w:ascii="Times New Roman" w:hAnsi="Times New Roman" w:cs="Times New Roman"/>
          <w:sz w:val="24"/>
          <w:szCs w:val="24"/>
          <w:lang w:val="bg-BG"/>
        </w:rPr>
      </w:pPr>
    </w:p>
    <w:p w:rsidR="000A607D" w:rsidRPr="00D6579F" w:rsidRDefault="00415BF0" w:rsidP="00914857">
      <w:pPr>
        <w:contextualSpacing/>
        <w:jc w:val="both"/>
        <w:rPr>
          <w:rFonts w:ascii="Times New Roman" w:hAnsi="Times New Roman" w:cs="Times New Roman"/>
          <w:sz w:val="24"/>
          <w:szCs w:val="24"/>
          <w:lang w:val="bg-BG"/>
        </w:rPr>
      </w:pPr>
      <w:r w:rsidRPr="00D6579F">
        <w:rPr>
          <w:rFonts w:ascii="Times New Roman" w:hAnsi="Times New Roman" w:cs="Times New Roman"/>
          <w:b/>
          <w:sz w:val="24"/>
          <w:szCs w:val="24"/>
          <w:lang w:val="bg-BG"/>
        </w:rPr>
        <w:t>Научни комисии</w:t>
      </w:r>
      <w:r w:rsidR="000A607D" w:rsidRPr="00D6579F">
        <w:rPr>
          <w:rFonts w:ascii="Times New Roman" w:hAnsi="Times New Roman" w:cs="Times New Roman"/>
          <w:sz w:val="24"/>
          <w:szCs w:val="24"/>
          <w:lang w:val="bg-BG"/>
        </w:rPr>
        <w:t xml:space="preserve"> – извършват подбор и оценка на проектните предложения и на отчетите от изпълнените проекти. </w:t>
      </w:r>
      <w:r w:rsidR="002172D2">
        <w:rPr>
          <w:rFonts w:ascii="Times New Roman" w:hAnsi="Times New Roman" w:cs="Times New Roman"/>
          <w:sz w:val="24"/>
          <w:szCs w:val="24"/>
          <w:lang w:val="bg-BG"/>
        </w:rPr>
        <w:t>Сформирани са 16</w:t>
      </w:r>
      <w:r w:rsidR="000A607D" w:rsidRPr="00D6579F">
        <w:rPr>
          <w:rFonts w:ascii="Times New Roman" w:hAnsi="Times New Roman" w:cs="Times New Roman"/>
          <w:sz w:val="24"/>
          <w:szCs w:val="24"/>
          <w:lang w:val="bg-BG"/>
        </w:rPr>
        <w:t xml:space="preserve"> факултетни (по 1 за всеки от факултетите)</w:t>
      </w:r>
      <w:r w:rsidR="002172D2">
        <w:rPr>
          <w:rFonts w:ascii="Times New Roman" w:hAnsi="Times New Roman" w:cs="Times New Roman"/>
          <w:sz w:val="24"/>
          <w:szCs w:val="24"/>
          <w:lang w:val="bg-BG"/>
        </w:rPr>
        <w:t xml:space="preserve"> комисии</w:t>
      </w:r>
      <w:r w:rsidR="000A607D" w:rsidRPr="00D6579F">
        <w:rPr>
          <w:rFonts w:ascii="Times New Roman" w:hAnsi="Times New Roman" w:cs="Times New Roman"/>
          <w:sz w:val="24"/>
          <w:szCs w:val="24"/>
          <w:lang w:val="bg-BG"/>
        </w:rPr>
        <w:t xml:space="preserve"> и комисия на департаментите. Факултетните научни комисиите са в състав от 3 до 9 души, които се предлагат от факултетния съвет (ФС) или от деканския съвет. Научната комисия на департаментите е в състав от 3 души и включва по 1 представител на всеки департамент. Комисиите се назначават ежегодно със заповед на Ректора по предложение на деканите.</w:t>
      </w:r>
    </w:p>
    <w:p w:rsidR="000E328E" w:rsidRPr="00D6579F" w:rsidRDefault="000E328E" w:rsidP="00914857">
      <w:pPr>
        <w:contextualSpacing/>
        <w:jc w:val="both"/>
        <w:rPr>
          <w:rFonts w:ascii="Times New Roman" w:hAnsi="Times New Roman" w:cs="Times New Roman"/>
          <w:b/>
          <w:sz w:val="24"/>
          <w:szCs w:val="24"/>
          <w:lang w:val="bg-BG"/>
        </w:rPr>
      </w:pPr>
    </w:p>
    <w:p w:rsidR="00415BF0" w:rsidRPr="00D6579F" w:rsidRDefault="00415BF0" w:rsidP="00914857">
      <w:pPr>
        <w:contextualSpacing/>
        <w:jc w:val="both"/>
        <w:rPr>
          <w:rFonts w:ascii="Times New Roman" w:hAnsi="Times New Roman" w:cs="Times New Roman"/>
          <w:sz w:val="24"/>
          <w:szCs w:val="24"/>
          <w:lang w:val="bg-BG"/>
        </w:rPr>
      </w:pPr>
      <w:r w:rsidRPr="00D6579F">
        <w:rPr>
          <w:rFonts w:ascii="Times New Roman" w:hAnsi="Times New Roman" w:cs="Times New Roman"/>
          <w:b/>
          <w:sz w:val="24"/>
          <w:szCs w:val="24"/>
          <w:lang w:val="bg-BG"/>
        </w:rPr>
        <w:t>Управителен съвет</w:t>
      </w:r>
      <w:r w:rsidR="00671913" w:rsidRPr="00D6579F">
        <w:rPr>
          <w:rFonts w:ascii="Times New Roman" w:hAnsi="Times New Roman" w:cs="Times New Roman"/>
          <w:b/>
          <w:sz w:val="24"/>
          <w:szCs w:val="24"/>
          <w:lang w:val="bg-BG"/>
        </w:rPr>
        <w:t xml:space="preserve"> (УС)</w:t>
      </w:r>
      <w:r w:rsidR="00671913" w:rsidRPr="00D6579F">
        <w:rPr>
          <w:rFonts w:ascii="Times New Roman" w:hAnsi="Times New Roman" w:cs="Times New Roman"/>
          <w:sz w:val="24"/>
          <w:szCs w:val="24"/>
          <w:lang w:val="bg-BG"/>
        </w:rPr>
        <w:t xml:space="preserve"> - </w:t>
      </w:r>
      <w:r w:rsidR="00785C29">
        <w:rPr>
          <w:rFonts w:ascii="Times New Roman" w:hAnsi="Times New Roman" w:cs="Times New Roman"/>
          <w:sz w:val="24"/>
          <w:szCs w:val="24"/>
          <w:lang w:val="bg-BG"/>
        </w:rPr>
        <w:t>В състава на УС участват заместник-</w:t>
      </w:r>
      <w:r w:rsidR="00671913" w:rsidRPr="00D6579F">
        <w:rPr>
          <w:rFonts w:ascii="Times New Roman" w:hAnsi="Times New Roman" w:cs="Times New Roman"/>
          <w:sz w:val="24"/>
          <w:szCs w:val="24"/>
          <w:lang w:val="bg-BG"/>
        </w:rPr>
        <w:t>ректорът по научноизследователска дейност, ко</w:t>
      </w:r>
      <w:r w:rsidR="00785C29">
        <w:rPr>
          <w:rFonts w:ascii="Times New Roman" w:hAnsi="Times New Roman" w:cs="Times New Roman"/>
          <w:sz w:val="24"/>
          <w:szCs w:val="24"/>
          <w:lang w:val="bg-BG"/>
        </w:rPr>
        <w:t xml:space="preserve">йто е и председател на съвета, </w:t>
      </w:r>
      <w:r w:rsidR="00671913" w:rsidRPr="00D6579F">
        <w:rPr>
          <w:rFonts w:ascii="Times New Roman" w:hAnsi="Times New Roman" w:cs="Times New Roman"/>
          <w:sz w:val="24"/>
          <w:szCs w:val="24"/>
          <w:lang w:val="bg-BG"/>
        </w:rPr>
        <w:t>председателите на факултетните научни комисии, председателят  на научната комис</w:t>
      </w:r>
      <w:r w:rsidR="00785C29">
        <w:rPr>
          <w:rFonts w:ascii="Times New Roman" w:hAnsi="Times New Roman" w:cs="Times New Roman"/>
          <w:sz w:val="24"/>
          <w:szCs w:val="24"/>
          <w:lang w:val="bg-BG"/>
        </w:rPr>
        <w:t>ия на департаментите, който е и</w:t>
      </w:r>
      <w:r w:rsidR="00671913" w:rsidRPr="00D6579F">
        <w:rPr>
          <w:rFonts w:ascii="Times New Roman" w:hAnsi="Times New Roman" w:cs="Times New Roman"/>
          <w:sz w:val="24"/>
          <w:szCs w:val="24"/>
          <w:lang w:val="bg-BG"/>
        </w:rPr>
        <w:t xml:space="preserve"> представител на центровете и другите обслужващи звена в СУ, които разработват научни проекти, директорът на Университетско издателство (с право на съвещателен глас), ръководителят на сектор Финансова политика и </w:t>
      </w:r>
      <w:r w:rsidR="00785C29">
        <w:rPr>
          <w:rFonts w:ascii="Times New Roman" w:hAnsi="Times New Roman" w:cs="Times New Roman"/>
          <w:sz w:val="24"/>
          <w:szCs w:val="24"/>
          <w:lang w:val="bg-BG"/>
        </w:rPr>
        <w:t xml:space="preserve">главният </w:t>
      </w:r>
      <w:r w:rsidR="00671913" w:rsidRPr="00D6579F">
        <w:rPr>
          <w:rFonts w:ascii="Times New Roman" w:hAnsi="Times New Roman" w:cs="Times New Roman"/>
          <w:sz w:val="24"/>
          <w:szCs w:val="24"/>
          <w:lang w:val="bg-BG"/>
        </w:rPr>
        <w:t>юрисконсулт. УС се назначава ежегодно със заповед на Ректора.</w:t>
      </w:r>
    </w:p>
    <w:p w:rsidR="000E328E" w:rsidRPr="00D6579F" w:rsidRDefault="000E328E" w:rsidP="00914857">
      <w:pPr>
        <w:contextualSpacing/>
        <w:jc w:val="both"/>
        <w:rPr>
          <w:rFonts w:ascii="Times New Roman" w:hAnsi="Times New Roman" w:cs="Times New Roman"/>
          <w:b/>
          <w:sz w:val="24"/>
          <w:szCs w:val="24"/>
          <w:lang w:val="bg-BG"/>
        </w:rPr>
      </w:pPr>
    </w:p>
    <w:p w:rsidR="001C5D5B" w:rsidRPr="00D6579F" w:rsidRDefault="001C5D5B" w:rsidP="00914857">
      <w:pPr>
        <w:contextualSpacing/>
        <w:jc w:val="both"/>
        <w:rPr>
          <w:rFonts w:ascii="Times New Roman" w:hAnsi="Times New Roman" w:cs="Times New Roman"/>
          <w:sz w:val="24"/>
          <w:szCs w:val="24"/>
          <w:lang w:val="bg-BG"/>
        </w:rPr>
      </w:pPr>
      <w:r w:rsidRPr="00D6579F">
        <w:rPr>
          <w:rFonts w:ascii="Times New Roman" w:hAnsi="Times New Roman" w:cs="Times New Roman"/>
          <w:b/>
          <w:sz w:val="24"/>
          <w:szCs w:val="24"/>
          <w:lang w:val="bg-BG"/>
        </w:rPr>
        <w:t>Електронна платформа</w:t>
      </w:r>
      <w:r w:rsidR="00914857" w:rsidRPr="00D6579F">
        <w:rPr>
          <w:rFonts w:ascii="Times New Roman" w:hAnsi="Times New Roman" w:cs="Times New Roman"/>
          <w:sz w:val="24"/>
          <w:szCs w:val="24"/>
          <w:lang w:val="bg-BG"/>
        </w:rPr>
        <w:t xml:space="preserve"> – специално създадена електронна платформа за кандидатстване и отчитане на проектите, финансирани целево от държавния бюджет. Платформата е на адрес: </w:t>
      </w:r>
      <w:hyperlink r:id="rId9" w:history="1">
        <w:r w:rsidR="00914857" w:rsidRPr="00D6579F">
          <w:rPr>
            <w:rStyle w:val="Hyperlink"/>
            <w:rFonts w:ascii="Times New Roman" w:hAnsi="Times New Roman" w:cs="Times New Roman"/>
            <w:sz w:val="24"/>
            <w:szCs w:val="24"/>
            <w:lang w:val="bg-BG"/>
          </w:rPr>
          <w:t>http://eservices.uni-sofia.bg/projects/</w:t>
        </w:r>
      </w:hyperlink>
      <w:r w:rsidR="00914857" w:rsidRPr="00D6579F">
        <w:rPr>
          <w:rFonts w:ascii="Times New Roman" w:hAnsi="Times New Roman" w:cs="Times New Roman"/>
          <w:sz w:val="24"/>
          <w:szCs w:val="24"/>
          <w:lang w:val="bg-BG"/>
        </w:rPr>
        <w:t xml:space="preserve"> и се достъпва с име и парола за СУСИ.</w:t>
      </w:r>
    </w:p>
    <w:p w:rsidR="00415BF0" w:rsidRPr="00D6579F" w:rsidRDefault="00415BF0" w:rsidP="00415BF0">
      <w:pPr>
        <w:contextualSpacing/>
        <w:rPr>
          <w:rFonts w:ascii="Times New Roman" w:hAnsi="Times New Roman" w:cs="Times New Roman"/>
          <w:sz w:val="24"/>
          <w:szCs w:val="24"/>
          <w:lang w:val="bg-BG"/>
        </w:rPr>
      </w:pPr>
    </w:p>
    <w:p w:rsidR="008F287B" w:rsidRPr="00D6579F" w:rsidRDefault="008F287B"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FF030C" w:rsidRPr="00D6579F" w:rsidRDefault="00FF030C" w:rsidP="008F287B">
      <w:pPr>
        <w:jc w:val="both"/>
        <w:rPr>
          <w:rFonts w:ascii="Times New Roman" w:hAnsi="Times New Roman" w:cs="Times New Roman"/>
          <w:sz w:val="24"/>
          <w:szCs w:val="24"/>
          <w:lang w:val="bg-BG"/>
        </w:rPr>
      </w:pPr>
    </w:p>
    <w:p w:rsidR="00684DC3" w:rsidRPr="00D6579F" w:rsidRDefault="00684DC3" w:rsidP="008F287B">
      <w:pPr>
        <w:jc w:val="both"/>
        <w:rPr>
          <w:rFonts w:ascii="Times New Roman" w:hAnsi="Times New Roman" w:cs="Times New Roman"/>
          <w:sz w:val="24"/>
          <w:szCs w:val="24"/>
          <w:lang w:val="bg-BG"/>
        </w:rPr>
      </w:pPr>
    </w:p>
    <w:p w:rsidR="00026229" w:rsidRDefault="00026229" w:rsidP="00026229">
      <w:pPr>
        <w:pStyle w:val="Heading1"/>
        <w:ind w:left="720"/>
        <w:rPr>
          <w:rFonts w:ascii="Times New Roman" w:hAnsi="Times New Roman" w:cs="Times New Roman"/>
          <w:b/>
          <w:sz w:val="24"/>
          <w:szCs w:val="24"/>
          <w:lang w:val="bg-BG"/>
        </w:rPr>
      </w:pPr>
      <w:bookmarkStart w:id="1" w:name="_Toc36023085"/>
    </w:p>
    <w:p w:rsidR="00D244B7" w:rsidRPr="00D6579F" w:rsidRDefault="00C30A26" w:rsidP="00D244B7">
      <w:pPr>
        <w:pStyle w:val="Heading1"/>
        <w:numPr>
          <w:ilvl w:val="0"/>
          <w:numId w:val="7"/>
        </w:numPr>
        <w:rPr>
          <w:rFonts w:ascii="Times New Roman" w:hAnsi="Times New Roman" w:cs="Times New Roman"/>
          <w:b/>
          <w:sz w:val="24"/>
          <w:szCs w:val="24"/>
          <w:lang w:val="bg-BG"/>
        </w:rPr>
      </w:pPr>
      <w:r w:rsidRPr="00D6579F">
        <w:rPr>
          <w:rFonts w:ascii="Times New Roman" w:hAnsi="Times New Roman" w:cs="Times New Roman"/>
          <w:b/>
          <w:sz w:val="24"/>
          <w:szCs w:val="24"/>
          <w:lang w:val="bg-BG"/>
        </w:rPr>
        <w:t>Обща информация з</w:t>
      </w:r>
      <w:r w:rsidR="008F287B" w:rsidRPr="00D6579F">
        <w:rPr>
          <w:rFonts w:ascii="Times New Roman" w:hAnsi="Times New Roman" w:cs="Times New Roman"/>
          <w:b/>
          <w:sz w:val="24"/>
          <w:szCs w:val="24"/>
          <w:lang w:val="bg-BG"/>
        </w:rPr>
        <w:t>а конкурса</w:t>
      </w:r>
      <w:bookmarkEnd w:id="1"/>
    </w:p>
    <w:p w:rsidR="00D244B7" w:rsidRPr="00D6579F" w:rsidRDefault="00D244B7" w:rsidP="00D244B7">
      <w:pPr>
        <w:spacing w:after="0"/>
        <w:rPr>
          <w:rFonts w:ascii="Times New Roman" w:hAnsi="Times New Roman" w:cs="Times New Roman"/>
          <w:sz w:val="24"/>
          <w:szCs w:val="24"/>
          <w:lang w:val="bg-BG"/>
        </w:rPr>
      </w:pPr>
    </w:p>
    <w:p w:rsidR="00C30A26" w:rsidRPr="00D6579F" w:rsidRDefault="008F287B" w:rsidP="00C30A26">
      <w:p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Средствата, предоставени целево от държавния бюджет за научна и художествено-творческа дейност съгласно Наредбата за условията и реда за оценката, планирането,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приета с ПМС № 233 от 10.09.2016 г., обн., ДВ, бр. 73 от 16.09.2016 г., в сила от 1.01.2017 г</w:t>
      </w:r>
      <w:r w:rsidR="00C30A26" w:rsidRPr="00D6579F">
        <w:rPr>
          <w:rFonts w:ascii="Times New Roman" w:hAnsi="Times New Roman" w:cs="Times New Roman"/>
          <w:sz w:val="24"/>
          <w:szCs w:val="24"/>
          <w:lang w:val="bg-BG"/>
        </w:rPr>
        <w:t xml:space="preserve">., </w:t>
      </w:r>
      <w:r w:rsidRPr="00D6579F">
        <w:rPr>
          <w:rFonts w:ascii="Times New Roman" w:hAnsi="Times New Roman" w:cs="Times New Roman"/>
          <w:sz w:val="24"/>
          <w:szCs w:val="24"/>
          <w:lang w:val="bg-BG"/>
        </w:rPr>
        <w:t xml:space="preserve">се </w:t>
      </w:r>
      <w:r w:rsidR="00C30A26" w:rsidRPr="00D6579F">
        <w:rPr>
          <w:rFonts w:ascii="Times New Roman" w:hAnsi="Times New Roman" w:cs="Times New Roman"/>
          <w:sz w:val="24"/>
          <w:szCs w:val="24"/>
          <w:lang w:val="bg-BG"/>
        </w:rPr>
        <w:t xml:space="preserve">разпределят за </w:t>
      </w:r>
      <w:r w:rsidR="00785C29">
        <w:rPr>
          <w:rFonts w:ascii="Times New Roman" w:hAnsi="Times New Roman" w:cs="Times New Roman"/>
          <w:sz w:val="24"/>
          <w:szCs w:val="24"/>
          <w:lang w:val="bg-BG"/>
        </w:rPr>
        <w:t xml:space="preserve">1. издаване на научни трудове и 2. </w:t>
      </w:r>
      <w:r w:rsidR="00C30A26" w:rsidRPr="00D6579F">
        <w:rPr>
          <w:rFonts w:ascii="Times New Roman" w:hAnsi="Times New Roman" w:cs="Times New Roman"/>
          <w:sz w:val="24"/>
          <w:szCs w:val="24"/>
          <w:lang w:val="bg-BG"/>
        </w:rPr>
        <w:t xml:space="preserve">финансиране на научноизследователски проекти </w:t>
      </w:r>
      <w:r w:rsidRPr="00D6579F">
        <w:rPr>
          <w:rFonts w:ascii="Times New Roman" w:hAnsi="Times New Roman" w:cs="Times New Roman"/>
          <w:sz w:val="24"/>
          <w:szCs w:val="24"/>
          <w:lang w:val="bg-BG"/>
        </w:rPr>
        <w:t>в три направл</w:t>
      </w:r>
      <w:r w:rsidR="00C30A26" w:rsidRPr="00D6579F">
        <w:rPr>
          <w:rFonts w:ascii="Times New Roman" w:hAnsi="Times New Roman" w:cs="Times New Roman"/>
          <w:sz w:val="24"/>
          <w:szCs w:val="24"/>
          <w:lang w:val="bg-BG"/>
        </w:rPr>
        <w:t>ения:</w:t>
      </w:r>
    </w:p>
    <w:p w:rsidR="00C30A26" w:rsidRPr="00785C29" w:rsidRDefault="00C30A26" w:rsidP="00C30A26">
      <w:pPr>
        <w:pStyle w:val="ListParagraph"/>
        <w:numPr>
          <w:ilvl w:val="0"/>
          <w:numId w:val="5"/>
        </w:numPr>
        <w:jc w:val="both"/>
        <w:rPr>
          <w:rFonts w:ascii="Times New Roman" w:hAnsi="Times New Roman" w:cs="Times New Roman"/>
          <w:b/>
          <w:sz w:val="24"/>
          <w:szCs w:val="24"/>
          <w:lang w:val="bg-BG"/>
        </w:rPr>
      </w:pPr>
      <w:r w:rsidRPr="00785C29">
        <w:rPr>
          <w:rFonts w:ascii="Times New Roman" w:hAnsi="Times New Roman" w:cs="Times New Roman"/>
          <w:b/>
          <w:sz w:val="24"/>
          <w:szCs w:val="24"/>
          <w:lang w:val="bg-BG"/>
        </w:rPr>
        <w:t xml:space="preserve">Тематични изследователски проекти; </w:t>
      </w:r>
    </w:p>
    <w:p w:rsidR="00C30A26" w:rsidRPr="00785C29" w:rsidRDefault="00C30A26" w:rsidP="00C30A26">
      <w:pPr>
        <w:pStyle w:val="ListParagraph"/>
        <w:numPr>
          <w:ilvl w:val="0"/>
          <w:numId w:val="5"/>
        </w:numPr>
        <w:jc w:val="both"/>
        <w:rPr>
          <w:rFonts w:ascii="Times New Roman" w:hAnsi="Times New Roman" w:cs="Times New Roman"/>
          <w:b/>
          <w:sz w:val="24"/>
          <w:szCs w:val="24"/>
          <w:lang w:val="bg-BG"/>
        </w:rPr>
      </w:pPr>
      <w:r w:rsidRPr="00785C29">
        <w:rPr>
          <w:rFonts w:ascii="Times New Roman" w:hAnsi="Times New Roman" w:cs="Times New Roman"/>
          <w:b/>
          <w:sz w:val="24"/>
          <w:szCs w:val="24"/>
          <w:lang w:val="bg-BG"/>
        </w:rPr>
        <w:t xml:space="preserve">Проекти в подкрепа на докторанти; </w:t>
      </w:r>
    </w:p>
    <w:p w:rsidR="008F287B" w:rsidRDefault="00C30A26" w:rsidP="00C30A26">
      <w:pPr>
        <w:pStyle w:val="ListParagraph"/>
        <w:numPr>
          <w:ilvl w:val="0"/>
          <w:numId w:val="5"/>
        </w:numPr>
        <w:jc w:val="both"/>
        <w:rPr>
          <w:rFonts w:ascii="Times New Roman" w:hAnsi="Times New Roman" w:cs="Times New Roman"/>
          <w:b/>
          <w:sz w:val="24"/>
          <w:szCs w:val="24"/>
          <w:lang w:val="bg-BG"/>
        </w:rPr>
      </w:pPr>
      <w:r w:rsidRPr="00785C29">
        <w:rPr>
          <w:rFonts w:ascii="Times New Roman" w:hAnsi="Times New Roman" w:cs="Times New Roman"/>
          <w:b/>
          <w:sz w:val="24"/>
          <w:szCs w:val="24"/>
          <w:lang w:val="bg-BG"/>
        </w:rPr>
        <w:t xml:space="preserve">Проекти </w:t>
      </w:r>
      <w:r w:rsidR="008F287B" w:rsidRPr="00785C29">
        <w:rPr>
          <w:rFonts w:ascii="Times New Roman" w:hAnsi="Times New Roman" w:cs="Times New Roman"/>
          <w:b/>
          <w:sz w:val="24"/>
          <w:szCs w:val="24"/>
          <w:lang w:val="bg-BG"/>
        </w:rPr>
        <w:t>за частично финансиране на нау</w:t>
      </w:r>
      <w:r w:rsidR="002F1695">
        <w:rPr>
          <w:rFonts w:ascii="Times New Roman" w:hAnsi="Times New Roman" w:cs="Times New Roman"/>
          <w:b/>
          <w:sz w:val="24"/>
          <w:szCs w:val="24"/>
          <w:lang w:val="bg-BG"/>
        </w:rPr>
        <w:t>чни форуми;</w:t>
      </w:r>
    </w:p>
    <w:p w:rsidR="002F1695" w:rsidRPr="00785C29" w:rsidRDefault="002F1695" w:rsidP="00C30A26">
      <w:pPr>
        <w:pStyle w:val="ListParagraph"/>
        <w:numPr>
          <w:ilvl w:val="0"/>
          <w:numId w:val="5"/>
        </w:numPr>
        <w:jc w:val="both"/>
        <w:rPr>
          <w:rFonts w:ascii="Times New Roman" w:hAnsi="Times New Roman" w:cs="Times New Roman"/>
          <w:b/>
          <w:sz w:val="24"/>
          <w:szCs w:val="24"/>
          <w:lang w:val="bg-BG"/>
        </w:rPr>
      </w:pPr>
      <w:r>
        <w:rPr>
          <w:rFonts w:ascii="Times New Roman" w:hAnsi="Times New Roman" w:cs="Times New Roman"/>
          <w:b/>
          <w:sz w:val="24"/>
          <w:szCs w:val="24"/>
          <w:lang w:val="bg-BG"/>
        </w:rPr>
        <w:t>Публикационен проект.</w:t>
      </w:r>
    </w:p>
    <w:p w:rsidR="00B374ED" w:rsidRPr="00D6579F" w:rsidRDefault="00905BBC" w:rsidP="00B374ED">
      <w:p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Подборът на проектите се извършва при спазване на чл. 61, ал. 1 от Закона за висшето образование,</w:t>
      </w:r>
      <w:r w:rsidR="00402DE7" w:rsidRPr="00D6579F">
        <w:rPr>
          <w:rFonts w:ascii="Times New Roman" w:hAnsi="Times New Roman" w:cs="Times New Roman"/>
          <w:sz w:val="24"/>
          <w:szCs w:val="24"/>
          <w:lang w:val="bg-BG"/>
        </w:rPr>
        <w:t xml:space="preserve"> </w:t>
      </w:r>
      <w:r w:rsidR="00785C29">
        <w:rPr>
          <w:rFonts w:ascii="Times New Roman" w:hAnsi="Times New Roman" w:cs="Times New Roman"/>
          <w:sz w:val="24"/>
          <w:szCs w:val="24"/>
          <w:lang w:val="bg-BG"/>
        </w:rPr>
        <w:t>съгласно който научните изследвания са</w:t>
      </w:r>
      <w:r w:rsidR="00402DE7" w:rsidRPr="00D6579F">
        <w:rPr>
          <w:rFonts w:ascii="Times New Roman" w:hAnsi="Times New Roman" w:cs="Times New Roman"/>
          <w:sz w:val="24"/>
          <w:szCs w:val="24"/>
          <w:lang w:val="bg-BG"/>
        </w:rPr>
        <w:t xml:space="preserve"> </w:t>
      </w:r>
      <w:r w:rsidRPr="00D6579F">
        <w:rPr>
          <w:rFonts w:ascii="Times New Roman" w:hAnsi="Times New Roman" w:cs="Times New Roman"/>
          <w:sz w:val="24"/>
          <w:szCs w:val="24"/>
          <w:lang w:val="bg-BG"/>
        </w:rPr>
        <w:t>насочени към създаването на нови научни знания или нау</w:t>
      </w:r>
      <w:r w:rsidR="00785C29">
        <w:rPr>
          <w:rFonts w:ascii="Times New Roman" w:hAnsi="Times New Roman" w:cs="Times New Roman"/>
          <w:sz w:val="24"/>
          <w:szCs w:val="24"/>
          <w:lang w:val="bg-BG"/>
        </w:rPr>
        <w:t xml:space="preserve">чно-приложни продукти, както и към </w:t>
      </w:r>
      <w:r w:rsidRPr="00D6579F">
        <w:rPr>
          <w:rFonts w:ascii="Times New Roman" w:hAnsi="Times New Roman" w:cs="Times New Roman"/>
          <w:sz w:val="24"/>
          <w:szCs w:val="24"/>
          <w:lang w:val="bg-BG"/>
        </w:rPr>
        <w:t>обосноваване и развитие на обучението.</w:t>
      </w:r>
    </w:p>
    <w:p w:rsidR="000E328E" w:rsidRPr="00D6579F" w:rsidRDefault="00B374ED" w:rsidP="00B374ED">
      <w:p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Конкурсът за финансиране на проекти се </w:t>
      </w:r>
      <w:r w:rsidR="00785C29">
        <w:rPr>
          <w:rFonts w:ascii="Times New Roman" w:hAnsi="Times New Roman" w:cs="Times New Roman"/>
          <w:sz w:val="24"/>
          <w:szCs w:val="24"/>
          <w:lang w:val="bg-BG"/>
        </w:rPr>
        <w:t>провежда</w:t>
      </w:r>
      <w:r w:rsidRPr="00D6579F">
        <w:rPr>
          <w:rFonts w:ascii="Times New Roman" w:hAnsi="Times New Roman" w:cs="Times New Roman"/>
          <w:sz w:val="24"/>
          <w:szCs w:val="24"/>
          <w:lang w:val="bg-BG"/>
        </w:rPr>
        <w:t xml:space="preserve"> ве</w:t>
      </w:r>
      <w:r w:rsidR="00785C29">
        <w:rPr>
          <w:rFonts w:ascii="Times New Roman" w:hAnsi="Times New Roman" w:cs="Times New Roman"/>
          <w:sz w:val="24"/>
          <w:szCs w:val="24"/>
          <w:lang w:val="bg-BG"/>
        </w:rPr>
        <w:t>днъж годишно, след публикуване</w:t>
      </w:r>
      <w:r w:rsidRPr="00D6579F">
        <w:rPr>
          <w:rFonts w:ascii="Times New Roman" w:hAnsi="Times New Roman" w:cs="Times New Roman"/>
          <w:sz w:val="24"/>
          <w:szCs w:val="24"/>
          <w:lang w:val="bg-BG"/>
        </w:rPr>
        <w:t xml:space="preserve"> на постановлението на Министерския съвет за изпълнението на държавния бюджет на Република България. Конку</w:t>
      </w:r>
      <w:r w:rsidR="00785C29">
        <w:rPr>
          <w:rFonts w:ascii="Times New Roman" w:hAnsi="Times New Roman" w:cs="Times New Roman"/>
          <w:sz w:val="24"/>
          <w:szCs w:val="24"/>
          <w:lang w:val="bg-BG"/>
        </w:rPr>
        <w:t>рсът се обявява със заповед на Р</w:t>
      </w:r>
      <w:r w:rsidRPr="00D6579F">
        <w:rPr>
          <w:rFonts w:ascii="Times New Roman" w:hAnsi="Times New Roman" w:cs="Times New Roman"/>
          <w:sz w:val="24"/>
          <w:szCs w:val="24"/>
          <w:lang w:val="bg-BG"/>
        </w:rPr>
        <w:t>ектора, която се изпраща във всички основни звена на Университета и се публикува в официалната интернет страница на СУ и в електронната платформа. Срокът за представяне на проектите е до</w:t>
      </w:r>
      <w:r w:rsidR="00785C29">
        <w:rPr>
          <w:rFonts w:ascii="Times New Roman" w:hAnsi="Times New Roman" w:cs="Times New Roman"/>
          <w:sz w:val="24"/>
          <w:szCs w:val="24"/>
          <w:lang w:val="bg-BG"/>
        </w:rPr>
        <w:t xml:space="preserve"> </w:t>
      </w:r>
      <w:r w:rsidRPr="00D6579F">
        <w:rPr>
          <w:rFonts w:ascii="Times New Roman" w:hAnsi="Times New Roman" w:cs="Times New Roman"/>
          <w:sz w:val="24"/>
          <w:szCs w:val="24"/>
          <w:lang w:val="bg-BG"/>
        </w:rPr>
        <w:t xml:space="preserve">един месец от датата на обявяването на конкурса и се утвърждава </w:t>
      </w:r>
      <w:r w:rsidR="00785C29">
        <w:rPr>
          <w:rFonts w:ascii="Times New Roman" w:hAnsi="Times New Roman" w:cs="Times New Roman"/>
          <w:sz w:val="24"/>
          <w:szCs w:val="24"/>
          <w:lang w:val="bg-BG"/>
        </w:rPr>
        <w:t xml:space="preserve">за всяка конкурсна сесия </w:t>
      </w:r>
      <w:r w:rsidRPr="00D6579F">
        <w:rPr>
          <w:rFonts w:ascii="Times New Roman" w:hAnsi="Times New Roman" w:cs="Times New Roman"/>
          <w:sz w:val="24"/>
          <w:szCs w:val="24"/>
          <w:lang w:val="bg-BG"/>
        </w:rPr>
        <w:t xml:space="preserve">със заповедта на </w:t>
      </w:r>
      <w:r w:rsidR="00785C29">
        <w:rPr>
          <w:rFonts w:ascii="Times New Roman" w:hAnsi="Times New Roman" w:cs="Times New Roman"/>
          <w:sz w:val="24"/>
          <w:szCs w:val="24"/>
          <w:lang w:val="bg-BG"/>
        </w:rPr>
        <w:t>Р</w:t>
      </w:r>
      <w:r w:rsidRPr="00D6579F">
        <w:rPr>
          <w:rFonts w:ascii="Times New Roman" w:hAnsi="Times New Roman" w:cs="Times New Roman"/>
          <w:sz w:val="24"/>
          <w:szCs w:val="24"/>
          <w:lang w:val="bg-BG"/>
        </w:rPr>
        <w:t>ектора</w:t>
      </w:r>
      <w:r w:rsidR="00785C29">
        <w:rPr>
          <w:rFonts w:ascii="Times New Roman" w:hAnsi="Times New Roman" w:cs="Times New Roman"/>
          <w:sz w:val="24"/>
          <w:szCs w:val="24"/>
          <w:lang w:val="bg-BG"/>
        </w:rPr>
        <w:t xml:space="preserve"> по предложние на УС</w:t>
      </w:r>
      <w:r w:rsidRPr="00D6579F">
        <w:rPr>
          <w:rFonts w:ascii="Times New Roman" w:hAnsi="Times New Roman" w:cs="Times New Roman"/>
          <w:sz w:val="24"/>
          <w:szCs w:val="24"/>
          <w:lang w:val="bg-BG"/>
        </w:rPr>
        <w:t>.</w:t>
      </w:r>
    </w:p>
    <w:p w:rsidR="00C30A26" w:rsidRPr="00D6579F" w:rsidRDefault="00C30A26" w:rsidP="00785C29">
      <w:pPr>
        <w:pStyle w:val="Heading1"/>
        <w:numPr>
          <w:ilvl w:val="1"/>
          <w:numId w:val="7"/>
        </w:numPr>
        <w:spacing w:after="240"/>
        <w:rPr>
          <w:rFonts w:ascii="Times New Roman" w:hAnsi="Times New Roman" w:cs="Times New Roman"/>
          <w:sz w:val="24"/>
          <w:szCs w:val="24"/>
          <w:lang w:val="bg-BG"/>
        </w:rPr>
      </w:pPr>
      <w:bookmarkStart w:id="2" w:name="_Toc36023086"/>
      <w:r w:rsidRPr="00D6579F">
        <w:rPr>
          <w:rFonts w:ascii="Times New Roman" w:hAnsi="Times New Roman" w:cs="Times New Roman"/>
          <w:sz w:val="24"/>
          <w:szCs w:val="24"/>
          <w:lang w:val="bg-BG"/>
        </w:rPr>
        <w:t>Финансова информация</w:t>
      </w:r>
      <w:bookmarkEnd w:id="2"/>
    </w:p>
    <w:p w:rsidR="008F287B" w:rsidRPr="00D6579F" w:rsidRDefault="00C30A26" w:rsidP="00C30A26">
      <w:pPr>
        <w:contextualSpacing/>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Средствата</w:t>
      </w:r>
      <w:r w:rsidR="00785C29">
        <w:rPr>
          <w:rFonts w:ascii="Times New Roman" w:hAnsi="Times New Roman" w:cs="Times New Roman"/>
          <w:sz w:val="24"/>
          <w:szCs w:val="24"/>
          <w:lang w:val="bg-BG"/>
        </w:rPr>
        <w:t xml:space="preserve"> за научноизследователски проекти</w:t>
      </w:r>
      <w:r w:rsidRPr="00D6579F">
        <w:rPr>
          <w:rFonts w:ascii="Times New Roman" w:hAnsi="Times New Roman" w:cs="Times New Roman"/>
          <w:sz w:val="24"/>
          <w:szCs w:val="24"/>
          <w:lang w:val="bg-BG"/>
        </w:rPr>
        <w:t xml:space="preserve"> се разпределят </w:t>
      </w:r>
      <w:r w:rsidR="00785C29">
        <w:rPr>
          <w:rFonts w:ascii="Times New Roman" w:hAnsi="Times New Roman" w:cs="Times New Roman"/>
          <w:sz w:val="24"/>
          <w:szCs w:val="24"/>
          <w:lang w:val="bg-BG"/>
        </w:rPr>
        <w:t>по факултети, като</w:t>
      </w:r>
      <w:r w:rsidRPr="00D6579F">
        <w:rPr>
          <w:rFonts w:ascii="Times New Roman" w:hAnsi="Times New Roman" w:cs="Times New Roman"/>
          <w:sz w:val="24"/>
          <w:szCs w:val="24"/>
          <w:lang w:val="bg-BG"/>
        </w:rPr>
        <w:t xml:space="preserve"> </w:t>
      </w:r>
      <w:r w:rsidR="00785C29">
        <w:rPr>
          <w:rFonts w:ascii="Times New Roman" w:hAnsi="Times New Roman" w:cs="Times New Roman"/>
          <w:sz w:val="24"/>
          <w:szCs w:val="24"/>
          <w:lang w:val="bg-BG"/>
        </w:rPr>
        <w:t xml:space="preserve">предварително </w:t>
      </w:r>
      <w:r w:rsidRPr="00D6579F">
        <w:rPr>
          <w:rFonts w:ascii="Times New Roman" w:hAnsi="Times New Roman" w:cs="Times New Roman"/>
          <w:sz w:val="24"/>
          <w:szCs w:val="24"/>
          <w:lang w:val="bg-BG"/>
        </w:rPr>
        <w:t>се отделя процент за деп</w:t>
      </w:r>
      <w:r w:rsidR="00785C29">
        <w:rPr>
          <w:rFonts w:ascii="Times New Roman" w:hAnsi="Times New Roman" w:cs="Times New Roman"/>
          <w:sz w:val="24"/>
          <w:szCs w:val="24"/>
          <w:lang w:val="bg-BG"/>
        </w:rPr>
        <w:t>артаментите и другите звена от У</w:t>
      </w:r>
      <w:r w:rsidRPr="00D6579F">
        <w:rPr>
          <w:rFonts w:ascii="Times New Roman" w:hAnsi="Times New Roman" w:cs="Times New Roman"/>
          <w:sz w:val="24"/>
          <w:szCs w:val="24"/>
          <w:lang w:val="bg-BG"/>
        </w:rPr>
        <w:t>ниверситета, в които се осъществява научна и художествено-творческа дейност. Разпреде</w:t>
      </w:r>
      <w:r w:rsidR="00785C29">
        <w:rPr>
          <w:rFonts w:ascii="Times New Roman" w:hAnsi="Times New Roman" w:cs="Times New Roman"/>
          <w:sz w:val="24"/>
          <w:szCs w:val="24"/>
          <w:lang w:val="bg-BG"/>
        </w:rPr>
        <w:t xml:space="preserve">лението на средствата за научна и </w:t>
      </w:r>
      <w:r w:rsidRPr="00D6579F">
        <w:rPr>
          <w:rFonts w:ascii="Times New Roman" w:hAnsi="Times New Roman" w:cs="Times New Roman"/>
          <w:sz w:val="24"/>
          <w:szCs w:val="24"/>
          <w:lang w:val="bg-BG"/>
        </w:rPr>
        <w:t xml:space="preserve">художественотворческа дейност между факултетите става на база на академичния състав, зает във всеки факултет към 1 януари и броя на действащите докторанти, с прилагане на различни коефициенти, определени от </w:t>
      </w:r>
      <w:r w:rsidR="00785C29">
        <w:rPr>
          <w:rFonts w:ascii="Times New Roman" w:hAnsi="Times New Roman" w:cs="Times New Roman"/>
          <w:sz w:val="24"/>
          <w:szCs w:val="24"/>
          <w:lang w:val="bg-BG"/>
        </w:rPr>
        <w:t>УС и утвърдени от Академичния съвет</w:t>
      </w:r>
      <w:r w:rsidRPr="00D6579F">
        <w:rPr>
          <w:rFonts w:ascii="Times New Roman" w:hAnsi="Times New Roman" w:cs="Times New Roman"/>
          <w:sz w:val="24"/>
          <w:szCs w:val="24"/>
          <w:lang w:val="bg-BG"/>
        </w:rPr>
        <w:t>.</w:t>
      </w:r>
    </w:p>
    <w:p w:rsidR="00C30A26" w:rsidRPr="00D6579F" w:rsidRDefault="00C30A26" w:rsidP="00C30A26">
      <w:pPr>
        <w:contextualSpacing/>
        <w:jc w:val="both"/>
        <w:rPr>
          <w:rFonts w:ascii="Times New Roman" w:hAnsi="Times New Roman" w:cs="Times New Roman"/>
          <w:sz w:val="24"/>
          <w:szCs w:val="24"/>
          <w:lang w:val="bg-BG"/>
        </w:rPr>
      </w:pPr>
    </w:p>
    <w:p w:rsidR="000E328E" w:rsidRPr="00D6579F" w:rsidRDefault="00785C29" w:rsidP="00E33926">
      <w:pPr>
        <w:spacing w:after="0"/>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По отношение на бюджетите на проектите н</w:t>
      </w:r>
      <w:r w:rsidR="00C30A26" w:rsidRPr="00785C29">
        <w:rPr>
          <w:rFonts w:ascii="Times New Roman" w:hAnsi="Times New Roman" w:cs="Times New Roman"/>
          <w:b/>
          <w:sz w:val="24"/>
          <w:szCs w:val="24"/>
          <w:lang w:val="bg-BG"/>
        </w:rPr>
        <w:t>яма ограничение за минимален и максимален размер на исканото финансиране.</w:t>
      </w:r>
      <w:r w:rsidR="00C30A26" w:rsidRPr="00D6579F">
        <w:rPr>
          <w:rFonts w:ascii="Times New Roman" w:hAnsi="Times New Roman" w:cs="Times New Roman"/>
          <w:sz w:val="24"/>
          <w:szCs w:val="24"/>
          <w:lang w:val="bg-BG"/>
        </w:rPr>
        <w:t xml:space="preserve"> При изготвяне на класирането научните комисии предлагат размера на финансиране за всеки от одобрените проекти. Предложените суми се утвърждават с решение на </w:t>
      </w:r>
      <w:r>
        <w:rPr>
          <w:rFonts w:ascii="Times New Roman" w:hAnsi="Times New Roman" w:cs="Times New Roman"/>
          <w:sz w:val="24"/>
          <w:szCs w:val="24"/>
          <w:lang w:val="bg-BG"/>
        </w:rPr>
        <w:t>УС</w:t>
      </w:r>
      <w:r w:rsidR="00C30A26" w:rsidRPr="00D6579F">
        <w:rPr>
          <w:rFonts w:ascii="Times New Roman" w:hAnsi="Times New Roman" w:cs="Times New Roman"/>
          <w:sz w:val="24"/>
          <w:szCs w:val="24"/>
          <w:lang w:val="bg-BG"/>
        </w:rPr>
        <w:t>.</w:t>
      </w:r>
      <w:r w:rsidR="00415BF0" w:rsidRPr="00D6579F">
        <w:rPr>
          <w:rFonts w:ascii="Times New Roman" w:hAnsi="Times New Roman" w:cs="Times New Roman"/>
          <w:sz w:val="24"/>
          <w:szCs w:val="24"/>
          <w:lang w:val="bg-BG"/>
        </w:rPr>
        <w:t xml:space="preserve"> Ръководителите получават информация за одобрения размер на финансиране по електронна поща след оповестяване на резултатите от конкурса в електронната платформа.</w:t>
      </w:r>
    </w:p>
    <w:p w:rsidR="000E328E" w:rsidRPr="00D6579F" w:rsidRDefault="00D244B7" w:rsidP="00D244B7">
      <w:pPr>
        <w:pStyle w:val="Heading1"/>
        <w:numPr>
          <w:ilvl w:val="1"/>
          <w:numId w:val="7"/>
        </w:numPr>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 </w:t>
      </w:r>
      <w:bookmarkStart w:id="3" w:name="_Toc36023087"/>
      <w:r w:rsidR="00905BBC" w:rsidRPr="00D6579F">
        <w:rPr>
          <w:rFonts w:ascii="Times New Roman" w:hAnsi="Times New Roman" w:cs="Times New Roman"/>
          <w:sz w:val="24"/>
          <w:szCs w:val="24"/>
          <w:lang w:val="bg-BG"/>
        </w:rPr>
        <w:t>Критерии за допустимост</w:t>
      </w:r>
      <w:bookmarkEnd w:id="3"/>
    </w:p>
    <w:p w:rsidR="00EE5904" w:rsidRPr="00D6579F" w:rsidRDefault="00EE5904" w:rsidP="00D244B7">
      <w:pPr>
        <w:pStyle w:val="Heading1"/>
        <w:numPr>
          <w:ilvl w:val="2"/>
          <w:numId w:val="7"/>
        </w:numPr>
        <w:rPr>
          <w:rFonts w:ascii="Times New Roman" w:hAnsi="Times New Roman" w:cs="Times New Roman"/>
          <w:sz w:val="24"/>
          <w:szCs w:val="24"/>
          <w:lang w:val="bg-BG"/>
        </w:rPr>
      </w:pPr>
      <w:bookmarkStart w:id="4" w:name="_Toc36023088"/>
      <w:r w:rsidRPr="00D6579F">
        <w:rPr>
          <w:rFonts w:ascii="Times New Roman" w:hAnsi="Times New Roman" w:cs="Times New Roman"/>
          <w:sz w:val="24"/>
          <w:szCs w:val="24"/>
          <w:lang w:val="bg-BG"/>
        </w:rPr>
        <w:t>Изисквания към ръководителите:</w:t>
      </w:r>
      <w:bookmarkEnd w:id="4"/>
    </w:p>
    <w:p w:rsidR="00EE5904" w:rsidRPr="00D6579F" w:rsidRDefault="00785C29" w:rsidP="00EE5904">
      <w:pPr>
        <w:pStyle w:val="ListParagraph"/>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Ръководител може да бъд</w:t>
      </w:r>
      <w:r w:rsidR="00EE5904" w:rsidRPr="00D6579F">
        <w:rPr>
          <w:rFonts w:ascii="Times New Roman" w:hAnsi="Times New Roman" w:cs="Times New Roman"/>
          <w:sz w:val="24"/>
          <w:szCs w:val="24"/>
          <w:lang w:val="bg-BG"/>
        </w:rPr>
        <w:t xml:space="preserve">е преподавател, който работи на безсрочен трудов договор в Университета, има регистрация и попълнена информация за последните 5 години в </w:t>
      </w:r>
      <w:r w:rsidR="00EE5904" w:rsidRPr="00D6579F">
        <w:rPr>
          <w:rFonts w:ascii="Times New Roman" w:hAnsi="Times New Roman" w:cs="Times New Roman"/>
          <w:sz w:val="24"/>
          <w:szCs w:val="24"/>
          <w:lang w:val="bg-BG"/>
        </w:rPr>
        <w:lastRenderedPageBreak/>
        <w:t xml:space="preserve">информационната система за научна дейност „Авторите“, притежава образователната и научна степен „доктор" или заема академична длъжност доцент или професор и има доказана научна компетентност и опит, съответстващи на целите на проекта. </w:t>
      </w:r>
    </w:p>
    <w:p w:rsidR="00905BBC" w:rsidRPr="00D6579F" w:rsidRDefault="00905BBC" w:rsidP="00EE5904">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Един преподавател може да е ръководител на не повече от един</w:t>
      </w:r>
      <w:r w:rsidR="00F07B45">
        <w:rPr>
          <w:rFonts w:ascii="Times New Roman" w:hAnsi="Times New Roman" w:cs="Times New Roman"/>
          <w:sz w:val="24"/>
          <w:szCs w:val="24"/>
          <w:lang w:val="bg-BG"/>
        </w:rPr>
        <w:t xml:space="preserve"> проект във всяко едно от </w:t>
      </w:r>
      <w:r w:rsidRPr="00D6579F">
        <w:rPr>
          <w:rFonts w:ascii="Times New Roman" w:hAnsi="Times New Roman" w:cs="Times New Roman"/>
          <w:sz w:val="24"/>
          <w:szCs w:val="24"/>
          <w:lang w:val="bg-BG"/>
        </w:rPr>
        <w:t>направления</w:t>
      </w:r>
      <w:r w:rsidR="00F07B45">
        <w:rPr>
          <w:rFonts w:ascii="Times New Roman" w:hAnsi="Times New Roman" w:cs="Times New Roman"/>
          <w:sz w:val="24"/>
          <w:szCs w:val="24"/>
          <w:lang w:val="bg-BG"/>
        </w:rPr>
        <w:t>та</w:t>
      </w:r>
      <w:bookmarkStart w:id="5" w:name="_GoBack"/>
      <w:bookmarkEnd w:id="5"/>
      <w:r w:rsidRPr="00D6579F">
        <w:rPr>
          <w:rFonts w:ascii="Times New Roman" w:hAnsi="Times New Roman" w:cs="Times New Roman"/>
          <w:sz w:val="24"/>
          <w:szCs w:val="24"/>
          <w:lang w:val="bg-BG"/>
        </w:rPr>
        <w:t xml:space="preserve"> по т.1.</w:t>
      </w:r>
    </w:p>
    <w:p w:rsidR="000E328E" w:rsidRPr="00D6579F" w:rsidRDefault="00EE5904" w:rsidP="00684DC3">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Недопустими кандидати са ръководители, които не са предоставили в срок отчет от предходна </w:t>
      </w:r>
      <w:r w:rsidR="00785C29">
        <w:rPr>
          <w:rFonts w:ascii="Times New Roman" w:hAnsi="Times New Roman" w:cs="Times New Roman"/>
          <w:sz w:val="24"/>
          <w:szCs w:val="24"/>
          <w:lang w:val="bg-BG"/>
        </w:rPr>
        <w:t xml:space="preserve">конкурсна </w:t>
      </w:r>
      <w:r w:rsidRPr="00D6579F">
        <w:rPr>
          <w:rFonts w:ascii="Times New Roman" w:hAnsi="Times New Roman" w:cs="Times New Roman"/>
          <w:sz w:val="24"/>
          <w:szCs w:val="24"/>
          <w:lang w:val="bg-BG"/>
        </w:rPr>
        <w:t xml:space="preserve">сесия, както и членовете на </w:t>
      </w:r>
      <w:r w:rsidR="00785C29">
        <w:rPr>
          <w:rFonts w:ascii="Times New Roman" w:hAnsi="Times New Roman" w:cs="Times New Roman"/>
          <w:sz w:val="24"/>
          <w:szCs w:val="24"/>
          <w:lang w:val="bg-BG"/>
        </w:rPr>
        <w:t>научните комисии.</w:t>
      </w:r>
    </w:p>
    <w:p w:rsidR="00EE5904" w:rsidRPr="00D6579F" w:rsidRDefault="00EE5904" w:rsidP="00D244B7">
      <w:pPr>
        <w:pStyle w:val="Heading1"/>
        <w:numPr>
          <w:ilvl w:val="2"/>
          <w:numId w:val="7"/>
        </w:numPr>
        <w:rPr>
          <w:rFonts w:ascii="Times New Roman" w:hAnsi="Times New Roman" w:cs="Times New Roman"/>
          <w:sz w:val="24"/>
          <w:szCs w:val="24"/>
          <w:lang w:val="bg-BG"/>
        </w:rPr>
      </w:pPr>
      <w:bookmarkStart w:id="6" w:name="_Toc36023089"/>
      <w:r w:rsidRPr="00D6579F">
        <w:rPr>
          <w:rFonts w:ascii="Times New Roman" w:hAnsi="Times New Roman" w:cs="Times New Roman"/>
          <w:sz w:val="24"/>
          <w:szCs w:val="24"/>
          <w:lang w:val="bg-BG"/>
        </w:rPr>
        <w:t>Изисквания към членовете на екипа:</w:t>
      </w:r>
      <w:bookmarkEnd w:id="6"/>
    </w:p>
    <w:p w:rsidR="00905BBC" w:rsidRPr="00D6579F" w:rsidRDefault="00E857AD" w:rsidP="00F77851">
      <w:pPr>
        <w:pStyle w:val="ListParagraph"/>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К</w:t>
      </w:r>
      <w:r w:rsidR="00EE5904" w:rsidRPr="00D6579F">
        <w:rPr>
          <w:rFonts w:ascii="Times New Roman" w:hAnsi="Times New Roman" w:cs="Times New Roman"/>
          <w:sz w:val="24"/>
          <w:szCs w:val="24"/>
          <w:lang w:val="bg-BG"/>
        </w:rPr>
        <w:t xml:space="preserve">ато членове на екипите </w:t>
      </w:r>
      <w:r>
        <w:rPr>
          <w:rFonts w:ascii="Times New Roman" w:hAnsi="Times New Roman" w:cs="Times New Roman"/>
          <w:sz w:val="24"/>
          <w:szCs w:val="24"/>
          <w:lang w:val="bg-BG"/>
        </w:rPr>
        <w:t xml:space="preserve">могат да участват </w:t>
      </w:r>
      <w:r w:rsidR="00EE5904" w:rsidRPr="00D6579F">
        <w:rPr>
          <w:rFonts w:ascii="Times New Roman" w:hAnsi="Times New Roman" w:cs="Times New Roman"/>
          <w:sz w:val="24"/>
          <w:szCs w:val="24"/>
          <w:lang w:val="bg-BG"/>
        </w:rPr>
        <w:t>преподаватели на основен трудов договор в СУ, които имат регистрация и попълнена информация за последните 5 години в информационната система за научна дейност на СУ „Авторите“, както и докторанти, студенти и учени от други висши училища и научни организации.</w:t>
      </w:r>
    </w:p>
    <w:p w:rsidR="000A607D" w:rsidRPr="00D6579F" w:rsidRDefault="00CB6FE6" w:rsidP="00D75CB2">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Допуска се у</w:t>
      </w:r>
      <w:r w:rsidR="000A607D" w:rsidRPr="00D6579F">
        <w:rPr>
          <w:rFonts w:ascii="Times New Roman" w:hAnsi="Times New Roman" w:cs="Times New Roman"/>
          <w:sz w:val="24"/>
          <w:szCs w:val="24"/>
          <w:lang w:val="bg-BG"/>
        </w:rPr>
        <w:t>частието на чуждестранни учени.</w:t>
      </w:r>
    </w:p>
    <w:p w:rsidR="000A607D" w:rsidRPr="00D6579F" w:rsidRDefault="000A607D" w:rsidP="00D75CB2">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Не се допуска участието на лица, които към момента на кандидатстване не попадат в нито една от посочените категории (докторанти, студенти или учени).</w:t>
      </w:r>
    </w:p>
    <w:p w:rsidR="00684DC3" w:rsidRDefault="00F77851" w:rsidP="00E857AD">
      <w:pPr>
        <w:pStyle w:val="ListParagraph"/>
        <w:numPr>
          <w:ilvl w:val="0"/>
          <w:numId w:val="5"/>
        </w:numPr>
        <w:jc w:val="both"/>
        <w:rPr>
          <w:rFonts w:ascii="Times New Roman" w:hAnsi="Times New Roman" w:cs="Times New Roman"/>
          <w:sz w:val="24"/>
          <w:szCs w:val="24"/>
          <w:lang w:val="bg-BG"/>
        </w:rPr>
      </w:pPr>
      <w:r w:rsidRPr="00E857AD">
        <w:rPr>
          <w:rFonts w:ascii="Times New Roman" w:hAnsi="Times New Roman" w:cs="Times New Roman"/>
          <w:sz w:val="24"/>
          <w:szCs w:val="24"/>
          <w:lang w:val="bg-BG"/>
        </w:rPr>
        <w:t xml:space="preserve">Не се допуска участието като членове на екипа на лица, които са членовете на </w:t>
      </w:r>
      <w:r w:rsidR="00E857AD" w:rsidRPr="00E857AD">
        <w:rPr>
          <w:rFonts w:ascii="Times New Roman" w:hAnsi="Times New Roman" w:cs="Times New Roman"/>
          <w:sz w:val="24"/>
          <w:szCs w:val="24"/>
          <w:lang w:val="bg-BG"/>
        </w:rPr>
        <w:t>научните комисии.</w:t>
      </w:r>
    </w:p>
    <w:p w:rsidR="00E857AD" w:rsidRPr="00E857AD" w:rsidRDefault="00E857AD" w:rsidP="00E857AD">
      <w:pPr>
        <w:pStyle w:val="ListParagraph"/>
        <w:jc w:val="both"/>
        <w:rPr>
          <w:rFonts w:ascii="Times New Roman" w:hAnsi="Times New Roman" w:cs="Times New Roman"/>
          <w:sz w:val="24"/>
          <w:szCs w:val="24"/>
          <w:lang w:val="bg-BG"/>
        </w:rPr>
      </w:pPr>
    </w:p>
    <w:p w:rsidR="000E328E" w:rsidRPr="00D6579F" w:rsidRDefault="006213F2" w:rsidP="00E33926">
      <w:pPr>
        <w:pStyle w:val="ListParagraph"/>
        <w:numPr>
          <w:ilvl w:val="2"/>
          <w:numId w:val="7"/>
        </w:numPr>
        <w:spacing w:after="0"/>
        <w:jc w:val="both"/>
        <w:rPr>
          <w:rStyle w:val="Heading1Char"/>
          <w:rFonts w:ascii="Times New Roman" w:hAnsi="Times New Roman" w:cs="Times New Roman"/>
          <w:sz w:val="24"/>
          <w:szCs w:val="24"/>
        </w:rPr>
      </w:pPr>
      <w:bookmarkStart w:id="7" w:name="_Toc36023090"/>
      <w:proofErr w:type="spellStart"/>
      <w:r w:rsidRPr="00D6579F">
        <w:rPr>
          <w:rStyle w:val="Heading1Char"/>
          <w:rFonts w:ascii="Times New Roman" w:hAnsi="Times New Roman" w:cs="Times New Roman"/>
          <w:sz w:val="24"/>
          <w:szCs w:val="24"/>
        </w:rPr>
        <w:t>Критерии</w:t>
      </w:r>
      <w:proofErr w:type="spellEnd"/>
      <w:r w:rsidRPr="00D6579F">
        <w:rPr>
          <w:rStyle w:val="Heading1Char"/>
          <w:rFonts w:ascii="Times New Roman" w:hAnsi="Times New Roman" w:cs="Times New Roman"/>
          <w:sz w:val="24"/>
          <w:szCs w:val="24"/>
        </w:rPr>
        <w:t xml:space="preserve"> </w:t>
      </w:r>
      <w:proofErr w:type="spellStart"/>
      <w:r w:rsidRPr="00D6579F">
        <w:rPr>
          <w:rStyle w:val="Heading1Char"/>
          <w:rFonts w:ascii="Times New Roman" w:hAnsi="Times New Roman" w:cs="Times New Roman"/>
          <w:sz w:val="24"/>
          <w:szCs w:val="24"/>
        </w:rPr>
        <w:t>за</w:t>
      </w:r>
      <w:proofErr w:type="spellEnd"/>
      <w:r w:rsidRPr="00D6579F">
        <w:rPr>
          <w:rStyle w:val="Heading1Char"/>
          <w:rFonts w:ascii="Times New Roman" w:hAnsi="Times New Roman" w:cs="Times New Roman"/>
          <w:sz w:val="24"/>
          <w:szCs w:val="24"/>
        </w:rPr>
        <w:t xml:space="preserve"> </w:t>
      </w:r>
      <w:proofErr w:type="spellStart"/>
      <w:r w:rsidRPr="00D6579F">
        <w:rPr>
          <w:rStyle w:val="Heading1Char"/>
          <w:rFonts w:ascii="Times New Roman" w:hAnsi="Times New Roman" w:cs="Times New Roman"/>
          <w:sz w:val="24"/>
          <w:szCs w:val="24"/>
        </w:rPr>
        <w:t>допуст</w:t>
      </w:r>
      <w:r w:rsidR="000E328E" w:rsidRPr="00D6579F">
        <w:rPr>
          <w:rStyle w:val="Heading1Char"/>
          <w:rFonts w:ascii="Times New Roman" w:hAnsi="Times New Roman" w:cs="Times New Roman"/>
          <w:sz w:val="24"/>
          <w:szCs w:val="24"/>
        </w:rPr>
        <w:t>имост</w:t>
      </w:r>
      <w:proofErr w:type="spellEnd"/>
      <w:r w:rsidR="000E328E" w:rsidRPr="00D6579F">
        <w:rPr>
          <w:rStyle w:val="Heading1Char"/>
          <w:rFonts w:ascii="Times New Roman" w:hAnsi="Times New Roman" w:cs="Times New Roman"/>
          <w:sz w:val="24"/>
          <w:szCs w:val="24"/>
        </w:rPr>
        <w:t xml:space="preserve"> </w:t>
      </w:r>
      <w:proofErr w:type="spellStart"/>
      <w:r w:rsidR="000E328E" w:rsidRPr="00D6579F">
        <w:rPr>
          <w:rStyle w:val="Heading1Char"/>
          <w:rFonts w:ascii="Times New Roman" w:hAnsi="Times New Roman" w:cs="Times New Roman"/>
          <w:sz w:val="24"/>
          <w:szCs w:val="24"/>
        </w:rPr>
        <w:t>на</w:t>
      </w:r>
      <w:proofErr w:type="spellEnd"/>
      <w:r w:rsidR="000E328E" w:rsidRPr="00D6579F">
        <w:rPr>
          <w:rStyle w:val="Heading1Char"/>
          <w:rFonts w:ascii="Times New Roman" w:hAnsi="Times New Roman" w:cs="Times New Roman"/>
          <w:sz w:val="24"/>
          <w:szCs w:val="24"/>
        </w:rPr>
        <w:t xml:space="preserve"> </w:t>
      </w:r>
      <w:proofErr w:type="spellStart"/>
      <w:r w:rsidR="000E328E" w:rsidRPr="00D6579F">
        <w:rPr>
          <w:rStyle w:val="Heading1Char"/>
          <w:rFonts w:ascii="Times New Roman" w:hAnsi="Times New Roman" w:cs="Times New Roman"/>
          <w:sz w:val="24"/>
          <w:szCs w:val="24"/>
        </w:rPr>
        <w:t>проектните</w:t>
      </w:r>
      <w:proofErr w:type="spellEnd"/>
      <w:r w:rsidR="000E328E" w:rsidRPr="00D6579F">
        <w:rPr>
          <w:rStyle w:val="Heading1Char"/>
          <w:rFonts w:ascii="Times New Roman" w:hAnsi="Times New Roman" w:cs="Times New Roman"/>
          <w:sz w:val="24"/>
          <w:szCs w:val="24"/>
        </w:rPr>
        <w:t xml:space="preserve"> </w:t>
      </w:r>
      <w:proofErr w:type="spellStart"/>
      <w:r w:rsidR="000E328E" w:rsidRPr="00D6579F">
        <w:rPr>
          <w:rStyle w:val="Heading1Char"/>
          <w:rFonts w:ascii="Times New Roman" w:hAnsi="Times New Roman" w:cs="Times New Roman"/>
          <w:sz w:val="24"/>
          <w:szCs w:val="24"/>
        </w:rPr>
        <w:t>предложения</w:t>
      </w:r>
      <w:bookmarkEnd w:id="7"/>
      <w:proofErr w:type="spellEnd"/>
      <w:r w:rsidR="000E328E" w:rsidRPr="00D6579F">
        <w:rPr>
          <w:rStyle w:val="Heading1Char"/>
          <w:rFonts w:ascii="Times New Roman" w:hAnsi="Times New Roman" w:cs="Times New Roman"/>
          <w:sz w:val="24"/>
          <w:szCs w:val="24"/>
        </w:rPr>
        <w:t xml:space="preserve"> </w:t>
      </w:r>
    </w:p>
    <w:p w:rsidR="001C5D5B" w:rsidRPr="00D6579F" w:rsidRDefault="00E857AD" w:rsidP="00684DC3">
      <w:pPr>
        <w:spacing w:after="0"/>
        <w:ind w:left="360"/>
        <w:jc w:val="both"/>
        <w:rPr>
          <w:rFonts w:ascii="Times New Roman" w:hAnsi="Times New Roman" w:cs="Times New Roman"/>
          <w:sz w:val="24"/>
          <w:szCs w:val="24"/>
          <w:lang w:val="bg-BG"/>
        </w:rPr>
      </w:pPr>
      <w:r>
        <w:rPr>
          <w:rFonts w:ascii="Times New Roman" w:hAnsi="Times New Roman" w:cs="Times New Roman"/>
          <w:sz w:val="24"/>
          <w:szCs w:val="24"/>
          <w:lang w:val="bg-BG"/>
        </w:rPr>
        <w:t>За допустими се считат</w:t>
      </w:r>
      <w:r w:rsidR="001C5D5B" w:rsidRPr="00D6579F">
        <w:rPr>
          <w:rFonts w:ascii="Times New Roman" w:hAnsi="Times New Roman" w:cs="Times New Roman"/>
          <w:sz w:val="24"/>
          <w:szCs w:val="24"/>
          <w:lang w:val="bg-BG"/>
        </w:rPr>
        <w:t xml:space="preserve"> проектни предложения, които са:</w:t>
      </w:r>
    </w:p>
    <w:p w:rsidR="001C5D5B" w:rsidRPr="0071041F" w:rsidRDefault="001C5D5B" w:rsidP="0071041F">
      <w:pPr>
        <w:pStyle w:val="ListParagraph"/>
        <w:numPr>
          <w:ilvl w:val="0"/>
          <w:numId w:val="9"/>
        </w:numPr>
        <w:spacing w:after="0"/>
        <w:ind w:left="709"/>
        <w:jc w:val="both"/>
        <w:rPr>
          <w:rFonts w:ascii="Times New Roman" w:hAnsi="Times New Roman" w:cs="Times New Roman"/>
          <w:sz w:val="24"/>
          <w:szCs w:val="24"/>
          <w:lang w:val="bg-BG"/>
        </w:rPr>
      </w:pPr>
      <w:r w:rsidRPr="0071041F">
        <w:rPr>
          <w:rFonts w:ascii="Times New Roman" w:hAnsi="Times New Roman" w:cs="Times New Roman"/>
          <w:sz w:val="24"/>
          <w:szCs w:val="24"/>
          <w:lang w:val="bg-BG"/>
        </w:rPr>
        <w:t>подадени в електронната платформа;</w:t>
      </w:r>
    </w:p>
    <w:p w:rsidR="001C5D5B" w:rsidRPr="0071041F" w:rsidRDefault="001C5D5B" w:rsidP="0071041F">
      <w:pPr>
        <w:pStyle w:val="ListParagraph"/>
        <w:numPr>
          <w:ilvl w:val="0"/>
          <w:numId w:val="9"/>
        </w:numPr>
        <w:spacing w:after="0"/>
        <w:ind w:left="709"/>
        <w:jc w:val="both"/>
        <w:rPr>
          <w:rFonts w:ascii="Times New Roman" w:hAnsi="Times New Roman" w:cs="Times New Roman"/>
          <w:sz w:val="24"/>
          <w:szCs w:val="24"/>
          <w:lang w:val="bg-BG"/>
        </w:rPr>
      </w:pPr>
      <w:r w:rsidRPr="0071041F">
        <w:rPr>
          <w:rFonts w:ascii="Times New Roman" w:hAnsi="Times New Roman" w:cs="Times New Roman"/>
          <w:sz w:val="24"/>
          <w:szCs w:val="24"/>
          <w:lang w:val="bg-BG"/>
        </w:rPr>
        <w:t>подадени преди изтичане на крайния срок, утвърждаван ежегодно със заповед на Ректора</w:t>
      </w:r>
      <w:r w:rsidR="00E857AD" w:rsidRPr="0071041F">
        <w:rPr>
          <w:rFonts w:ascii="Times New Roman" w:hAnsi="Times New Roman" w:cs="Times New Roman"/>
          <w:sz w:val="24"/>
          <w:szCs w:val="24"/>
          <w:lang w:val="bg-BG"/>
        </w:rPr>
        <w:t xml:space="preserve">, която се публикува </w:t>
      </w:r>
      <w:r w:rsidRPr="0071041F">
        <w:rPr>
          <w:rFonts w:ascii="Times New Roman" w:hAnsi="Times New Roman" w:cs="Times New Roman"/>
          <w:sz w:val="24"/>
          <w:szCs w:val="24"/>
          <w:lang w:val="bg-BG"/>
        </w:rPr>
        <w:t>заедно с документацията за конкурса в електронната плаформа;</w:t>
      </w:r>
    </w:p>
    <w:p w:rsidR="000E328E" w:rsidRPr="0071041F" w:rsidRDefault="001C5D5B" w:rsidP="0071041F">
      <w:pPr>
        <w:pStyle w:val="ListParagraph"/>
        <w:numPr>
          <w:ilvl w:val="0"/>
          <w:numId w:val="9"/>
        </w:numPr>
        <w:spacing w:after="0"/>
        <w:ind w:left="709"/>
        <w:jc w:val="both"/>
        <w:rPr>
          <w:rFonts w:ascii="Times New Roman" w:hAnsi="Times New Roman" w:cs="Times New Roman"/>
          <w:sz w:val="24"/>
          <w:szCs w:val="24"/>
          <w:lang w:val="bg-BG"/>
        </w:rPr>
      </w:pPr>
      <w:r w:rsidRPr="0071041F">
        <w:rPr>
          <w:rFonts w:ascii="Times New Roman" w:hAnsi="Times New Roman" w:cs="Times New Roman"/>
          <w:sz w:val="24"/>
          <w:szCs w:val="24"/>
          <w:lang w:val="bg-BG"/>
        </w:rPr>
        <w:t xml:space="preserve">изготвени според утвърдените образци за </w:t>
      </w:r>
      <w:r w:rsidR="00F07B45">
        <w:rPr>
          <w:rFonts w:ascii="Times New Roman" w:hAnsi="Times New Roman" w:cs="Times New Roman"/>
          <w:sz w:val="24"/>
          <w:szCs w:val="24"/>
          <w:lang w:val="bg-BG"/>
        </w:rPr>
        <w:t>чр</w:t>
      </w:r>
      <w:r w:rsidRPr="0071041F">
        <w:rPr>
          <w:rFonts w:ascii="Times New Roman" w:hAnsi="Times New Roman" w:cs="Times New Roman"/>
          <w:sz w:val="24"/>
          <w:szCs w:val="24"/>
          <w:lang w:val="bg-BG"/>
        </w:rPr>
        <w:t>т</w:t>
      </w:r>
      <w:r w:rsidR="00F07B45">
        <w:rPr>
          <w:rFonts w:ascii="Times New Roman" w:hAnsi="Times New Roman" w:cs="Times New Roman"/>
          <w:sz w:val="24"/>
          <w:szCs w:val="24"/>
          <w:lang w:val="bg-BG"/>
        </w:rPr>
        <w:t>и</w:t>
      </w:r>
      <w:r w:rsidRPr="0071041F">
        <w:rPr>
          <w:rFonts w:ascii="Times New Roman" w:hAnsi="Times New Roman" w:cs="Times New Roman"/>
          <w:sz w:val="24"/>
          <w:szCs w:val="24"/>
          <w:lang w:val="bg-BG"/>
        </w:rPr>
        <w:t>рите</w:t>
      </w:r>
      <w:r w:rsidR="00F07B45">
        <w:rPr>
          <w:rFonts w:ascii="Times New Roman" w:hAnsi="Times New Roman" w:cs="Times New Roman"/>
          <w:sz w:val="24"/>
          <w:szCs w:val="24"/>
          <w:lang w:val="bg-BG"/>
        </w:rPr>
        <w:t xml:space="preserve"> направления</w:t>
      </w:r>
      <w:r w:rsidRPr="0071041F">
        <w:rPr>
          <w:rFonts w:ascii="Times New Roman" w:hAnsi="Times New Roman" w:cs="Times New Roman"/>
          <w:sz w:val="24"/>
          <w:szCs w:val="24"/>
          <w:lang w:val="bg-BG"/>
        </w:rPr>
        <w:t>, като всички части от формуляра са коректно попълнени.</w:t>
      </w:r>
    </w:p>
    <w:p w:rsidR="000A607D" w:rsidRPr="00D6579F" w:rsidRDefault="000A607D" w:rsidP="00B6635E">
      <w:pPr>
        <w:pStyle w:val="Heading1"/>
        <w:numPr>
          <w:ilvl w:val="0"/>
          <w:numId w:val="7"/>
        </w:numPr>
        <w:rPr>
          <w:rFonts w:ascii="Times New Roman" w:hAnsi="Times New Roman" w:cs="Times New Roman"/>
          <w:b/>
          <w:sz w:val="24"/>
          <w:szCs w:val="24"/>
          <w:lang w:val="bg-BG"/>
        </w:rPr>
      </w:pPr>
      <w:bookmarkStart w:id="8" w:name="_Toc36023091"/>
      <w:r w:rsidRPr="00D6579F">
        <w:rPr>
          <w:rFonts w:ascii="Times New Roman" w:hAnsi="Times New Roman" w:cs="Times New Roman"/>
          <w:b/>
          <w:sz w:val="24"/>
          <w:szCs w:val="24"/>
          <w:lang w:val="bg-BG"/>
        </w:rPr>
        <w:t>Кандидатстване</w:t>
      </w:r>
      <w:bookmarkEnd w:id="8"/>
    </w:p>
    <w:p w:rsidR="00292180" w:rsidRPr="00D6579F" w:rsidRDefault="00292180" w:rsidP="00E33926">
      <w:pPr>
        <w:spacing w:after="0"/>
        <w:ind w:left="360"/>
        <w:jc w:val="both"/>
        <w:rPr>
          <w:rFonts w:ascii="Times New Roman" w:hAnsi="Times New Roman" w:cs="Times New Roman"/>
          <w:sz w:val="24"/>
          <w:szCs w:val="24"/>
          <w:lang w:val="bg-BG"/>
        </w:rPr>
      </w:pPr>
    </w:p>
    <w:p w:rsidR="00B22DC9" w:rsidRPr="00D6579F" w:rsidRDefault="0065196F" w:rsidP="00B22DC9">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Желаещите да участват в конкурса представят формуляр за участие </w:t>
      </w:r>
      <w:r w:rsidR="002F1695">
        <w:rPr>
          <w:rFonts w:ascii="Times New Roman" w:hAnsi="Times New Roman" w:cs="Times New Roman"/>
          <w:sz w:val="24"/>
          <w:szCs w:val="24"/>
          <w:lang w:val="bg-BG"/>
        </w:rPr>
        <w:t xml:space="preserve">по образец </w:t>
      </w:r>
      <w:r w:rsidRPr="00D6579F">
        <w:rPr>
          <w:rFonts w:ascii="Times New Roman" w:hAnsi="Times New Roman" w:cs="Times New Roman"/>
          <w:sz w:val="24"/>
          <w:szCs w:val="24"/>
          <w:lang w:val="bg-BG"/>
        </w:rPr>
        <w:t>и предварително разпределение на исканите средства (бюджет на проекта).</w:t>
      </w:r>
      <w:r w:rsidR="00B22DC9" w:rsidRPr="00D6579F">
        <w:rPr>
          <w:rFonts w:ascii="Times New Roman" w:hAnsi="Times New Roman" w:cs="Times New Roman"/>
          <w:sz w:val="24"/>
          <w:szCs w:val="24"/>
          <w:lang w:val="bg-BG"/>
        </w:rPr>
        <w:t xml:space="preserve"> Оригиналните документи с подписи на ръководителя и членовете на екипа се съхраняват от ръководителя на проекта в продължение на 5 години и се предоставят при поискване.</w:t>
      </w:r>
    </w:p>
    <w:p w:rsidR="00292180" w:rsidRDefault="0065196F" w:rsidP="00E33926">
      <w:pPr>
        <w:spacing w:after="0"/>
        <w:ind w:left="360"/>
        <w:jc w:val="both"/>
        <w:rPr>
          <w:rFonts w:ascii="Times New Roman" w:hAnsi="Times New Roman" w:cs="Times New Roman"/>
          <w:sz w:val="24"/>
          <w:szCs w:val="24"/>
        </w:rPr>
      </w:pPr>
      <w:r w:rsidRPr="00D6579F">
        <w:rPr>
          <w:rFonts w:ascii="Times New Roman" w:hAnsi="Times New Roman" w:cs="Times New Roman"/>
          <w:sz w:val="24"/>
          <w:szCs w:val="24"/>
          <w:lang w:val="bg-BG"/>
        </w:rPr>
        <w:t>Заявките за научни проекти се подават по електронен път в електронна</w:t>
      </w:r>
      <w:r w:rsidR="005378BA">
        <w:rPr>
          <w:rFonts w:ascii="Times New Roman" w:hAnsi="Times New Roman" w:cs="Times New Roman"/>
          <w:sz w:val="24"/>
          <w:szCs w:val="24"/>
          <w:lang w:val="bg-BG"/>
        </w:rPr>
        <w:t>та</w:t>
      </w:r>
      <w:r w:rsidRPr="00D6579F">
        <w:rPr>
          <w:rFonts w:ascii="Times New Roman" w:hAnsi="Times New Roman" w:cs="Times New Roman"/>
          <w:sz w:val="24"/>
          <w:szCs w:val="24"/>
          <w:lang w:val="bg-BG"/>
        </w:rPr>
        <w:t xml:space="preserve"> платформа. Няма ограничение за формата на файловете, които се прикачват в платформата. Задължително е проектът да бъде подаден през профила на ръководителя. При успешно подаване на документите системата генерира входящ номер. Корекции по подадените документи са възможни преди изтичане на крайния срок на конкурса. Платформата не пази</w:t>
      </w:r>
      <w:r w:rsidR="005378BA">
        <w:rPr>
          <w:rFonts w:ascii="Times New Roman" w:hAnsi="Times New Roman" w:cs="Times New Roman"/>
          <w:sz w:val="24"/>
          <w:szCs w:val="24"/>
          <w:lang w:val="bg-BG"/>
        </w:rPr>
        <w:t xml:space="preserve"> предходните файлове като</w:t>
      </w:r>
      <w:r w:rsidRPr="00D6579F">
        <w:rPr>
          <w:rFonts w:ascii="Times New Roman" w:hAnsi="Times New Roman" w:cs="Times New Roman"/>
          <w:sz w:val="24"/>
          <w:szCs w:val="24"/>
          <w:lang w:val="bg-BG"/>
        </w:rPr>
        <w:t xml:space="preserve"> история, така че за подадени се считат последно прикаче</w:t>
      </w:r>
      <w:r w:rsidR="005378BA">
        <w:rPr>
          <w:rFonts w:ascii="Times New Roman" w:hAnsi="Times New Roman" w:cs="Times New Roman"/>
          <w:sz w:val="24"/>
          <w:szCs w:val="24"/>
          <w:lang w:val="bg-BG"/>
        </w:rPr>
        <w:t xml:space="preserve">ните документи. Ако проектът </w:t>
      </w:r>
      <w:r w:rsidRPr="00D6579F">
        <w:rPr>
          <w:rFonts w:ascii="Times New Roman" w:hAnsi="Times New Roman" w:cs="Times New Roman"/>
          <w:sz w:val="24"/>
          <w:szCs w:val="24"/>
          <w:lang w:val="bg-BG"/>
        </w:rPr>
        <w:t xml:space="preserve">погрешка бъде подаден повече от веднъж, ръководителят трябва да се свърже с отдел „Научна и проектна дейност“ по електронна поща </w:t>
      </w:r>
      <w:r w:rsidRPr="00D6579F">
        <w:rPr>
          <w:rFonts w:ascii="Times New Roman" w:hAnsi="Times New Roman" w:cs="Times New Roman"/>
          <w:sz w:val="24"/>
          <w:szCs w:val="24"/>
        </w:rPr>
        <w:t>(</w:t>
      </w:r>
      <w:hyperlink r:id="rId10" w:history="1">
        <w:r w:rsidRPr="00D6579F">
          <w:rPr>
            <w:rStyle w:val="Hyperlink"/>
            <w:rFonts w:ascii="Times New Roman" w:hAnsi="Times New Roman" w:cs="Times New Roman"/>
            <w:sz w:val="24"/>
            <w:szCs w:val="24"/>
          </w:rPr>
          <w:t>npd@admin.uni-sofia.bg</w:t>
        </w:r>
      </w:hyperlink>
      <w:r w:rsidRPr="00D6579F">
        <w:rPr>
          <w:rFonts w:ascii="Times New Roman" w:hAnsi="Times New Roman" w:cs="Times New Roman"/>
          <w:sz w:val="24"/>
          <w:szCs w:val="24"/>
        </w:rPr>
        <w:t xml:space="preserve">) </w:t>
      </w:r>
      <w:proofErr w:type="spellStart"/>
      <w:r w:rsidRPr="00D6579F">
        <w:rPr>
          <w:rFonts w:ascii="Times New Roman" w:hAnsi="Times New Roman" w:cs="Times New Roman"/>
          <w:sz w:val="24"/>
          <w:szCs w:val="24"/>
        </w:rPr>
        <w:t>за</w:t>
      </w:r>
      <w:proofErr w:type="spellEnd"/>
      <w:r w:rsidRPr="00D6579F">
        <w:rPr>
          <w:rFonts w:ascii="Times New Roman" w:hAnsi="Times New Roman" w:cs="Times New Roman"/>
          <w:sz w:val="24"/>
          <w:szCs w:val="24"/>
        </w:rPr>
        <w:t xml:space="preserve"> </w:t>
      </w:r>
      <w:proofErr w:type="spellStart"/>
      <w:r w:rsidRPr="00D6579F">
        <w:rPr>
          <w:rFonts w:ascii="Times New Roman" w:hAnsi="Times New Roman" w:cs="Times New Roman"/>
          <w:sz w:val="24"/>
          <w:szCs w:val="24"/>
        </w:rPr>
        <w:t>отстраняване</w:t>
      </w:r>
      <w:proofErr w:type="spellEnd"/>
      <w:r w:rsidRPr="00D6579F">
        <w:rPr>
          <w:rFonts w:ascii="Times New Roman" w:hAnsi="Times New Roman" w:cs="Times New Roman"/>
          <w:sz w:val="24"/>
          <w:szCs w:val="24"/>
        </w:rPr>
        <w:t xml:space="preserve"> </w:t>
      </w:r>
      <w:proofErr w:type="spellStart"/>
      <w:r w:rsidRPr="00D6579F">
        <w:rPr>
          <w:rFonts w:ascii="Times New Roman" w:hAnsi="Times New Roman" w:cs="Times New Roman"/>
          <w:sz w:val="24"/>
          <w:szCs w:val="24"/>
        </w:rPr>
        <w:t>на</w:t>
      </w:r>
      <w:proofErr w:type="spellEnd"/>
      <w:r w:rsidRPr="00D6579F">
        <w:rPr>
          <w:rFonts w:ascii="Times New Roman" w:hAnsi="Times New Roman" w:cs="Times New Roman"/>
          <w:sz w:val="24"/>
          <w:szCs w:val="24"/>
        </w:rPr>
        <w:t xml:space="preserve"> </w:t>
      </w:r>
      <w:proofErr w:type="spellStart"/>
      <w:r w:rsidRPr="00D6579F">
        <w:rPr>
          <w:rFonts w:ascii="Times New Roman" w:hAnsi="Times New Roman" w:cs="Times New Roman"/>
          <w:sz w:val="24"/>
          <w:szCs w:val="24"/>
        </w:rPr>
        <w:t>проблема</w:t>
      </w:r>
      <w:proofErr w:type="spellEnd"/>
      <w:r w:rsidRPr="00D6579F">
        <w:rPr>
          <w:rFonts w:ascii="Times New Roman" w:hAnsi="Times New Roman" w:cs="Times New Roman"/>
          <w:sz w:val="24"/>
          <w:szCs w:val="24"/>
        </w:rPr>
        <w:t>.</w:t>
      </w:r>
    </w:p>
    <w:p w:rsidR="00026229" w:rsidRDefault="00026229" w:rsidP="00E33926">
      <w:pPr>
        <w:spacing w:after="0"/>
        <w:ind w:left="360"/>
        <w:jc w:val="both"/>
        <w:rPr>
          <w:rFonts w:ascii="Times New Roman" w:hAnsi="Times New Roman" w:cs="Times New Roman"/>
          <w:sz w:val="24"/>
          <w:szCs w:val="24"/>
        </w:rPr>
      </w:pPr>
    </w:p>
    <w:p w:rsidR="00026229" w:rsidRDefault="00026229" w:rsidP="00E33926">
      <w:pPr>
        <w:spacing w:after="0"/>
        <w:ind w:left="360"/>
        <w:jc w:val="both"/>
        <w:rPr>
          <w:rFonts w:ascii="Times New Roman" w:hAnsi="Times New Roman" w:cs="Times New Roman"/>
          <w:sz w:val="24"/>
          <w:szCs w:val="24"/>
        </w:rPr>
      </w:pPr>
    </w:p>
    <w:p w:rsidR="00026229" w:rsidRPr="00D6579F" w:rsidRDefault="00026229" w:rsidP="00E33926">
      <w:pPr>
        <w:spacing w:after="0"/>
        <w:ind w:left="360"/>
        <w:jc w:val="both"/>
        <w:rPr>
          <w:rFonts w:ascii="Times New Roman" w:hAnsi="Times New Roman" w:cs="Times New Roman"/>
          <w:sz w:val="24"/>
          <w:szCs w:val="24"/>
        </w:rPr>
      </w:pPr>
    </w:p>
    <w:p w:rsidR="006463D9" w:rsidRPr="006463D9" w:rsidRDefault="000A607D" w:rsidP="006463D9">
      <w:pPr>
        <w:pStyle w:val="Heading1"/>
        <w:numPr>
          <w:ilvl w:val="0"/>
          <w:numId w:val="7"/>
        </w:numPr>
        <w:rPr>
          <w:rFonts w:ascii="Times New Roman" w:hAnsi="Times New Roman" w:cs="Times New Roman"/>
          <w:b/>
          <w:sz w:val="24"/>
          <w:szCs w:val="24"/>
          <w:lang w:val="bg-BG"/>
        </w:rPr>
      </w:pPr>
      <w:bookmarkStart w:id="9" w:name="_Toc36023092"/>
      <w:r w:rsidRPr="00D6579F">
        <w:rPr>
          <w:rFonts w:ascii="Times New Roman" w:hAnsi="Times New Roman" w:cs="Times New Roman"/>
          <w:b/>
          <w:sz w:val="24"/>
          <w:szCs w:val="24"/>
          <w:lang w:val="bg-BG"/>
        </w:rPr>
        <w:lastRenderedPageBreak/>
        <w:t>Оценка на проектните предложения</w:t>
      </w:r>
      <w:bookmarkEnd w:id="9"/>
    </w:p>
    <w:p w:rsidR="00292180" w:rsidRPr="00D6579F" w:rsidRDefault="00292180" w:rsidP="00292180">
      <w:pPr>
        <w:spacing w:after="0"/>
        <w:rPr>
          <w:rFonts w:ascii="Times New Roman" w:hAnsi="Times New Roman" w:cs="Times New Roman"/>
          <w:sz w:val="24"/>
          <w:szCs w:val="24"/>
          <w:lang w:val="bg-BG"/>
        </w:rPr>
      </w:pPr>
    </w:p>
    <w:p w:rsidR="000E328E" w:rsidRPr="00D6579F" w:rsidRDefault="00671913" w:rsidP="006463D9">
      <w:pPr>
        <w:spacing w:after="0"/>
        <w:ind w:left="360"/>
        <w:jc w:val="both"/>
        <w:rPr>
          <w:rFonts w:ascii="Times New Roman" w:hAnsi="Times New Roman" w:cs="Times New Roman"/>
          <w:b/>
          <w:sz w:val="24"/>
          <w:szCs w:val="24"/>
          <w:lang w:val="bg-BG"/>
        </w:rPr>
      </w:pPr>
      <w:r w:rsidRPr="00D6579F">
        <w:rPr>
          <w:rFonts w:ascii="Times New Roman" w:hAnsi="Times New Roman" w:cs="Times New Roman"/>
          <w:sz w:val="24"/>
          <w:szCs w:val="24"/>
          <w:lang w:val="bg-BG"/>
        </w:rPr>
        <w:t>Оценяването на проектите се извършва по критерии</w:t>
      </w:r>
      <w:r w:rsidR="00CF0CC8" w:rsidRPr="00D6579F">
        <w:rPr>
          <w:rFonts w:ascii="Times New Roman" w:hAnsi="Times New Roman" w:cs="Times New Roman"/>
          <w:sz w:val="24"/>
          <w:szCs w:val="24"/>
          <w:lang w:val="bg-BG"/>
        </w:rPr>
        <w:t xml:space="preserve"> за</w:t>
      </w:r>
      <w:r w:rsidR="00854F2C">
        <w:rPr>
          <w:rFonts w:ascii="Times New Roman" w:hAnsi="Times New Roman" w:cs="Times New Roman"/>
          <w:sz w:val="24"/>
          <w:szCs w:val="24"/>
          <w:lang w:val="bg-BG"/>
        </w:rPr>
        <w:t xml:space="preserve"> избор, оценяване и класиране</w:t>
      </w:r>
      <w:r w:rsidRPr="00D6579F">
        <w:rPr>
          <w:rFonts w:ascii="Times New Roman" w:hAnsi="Times New Roman" w:cs="Times New Roman"/>
          <w:sz w:val="24"/>
          <w:szCs w:val="24"/>
          <w:lang w:val="bg-BG"/>
        </w:rPr>
        <w:t>, разработени от УС</w:t>
      </w:r>
      <w:r w:rsidR="00CF0CC8" w:rsidRPr="00D6579F">
        <w:rPr>
          <w:rFonts w:ascii="Times New Roman" w:hAnsi="Times New Roman" w:cs="Times New Roman"/>
          <w:sz w:val="24"/>
          <w:szCs w:val="24"/>
          <w:lang w:val="bg-BG"/>
        </w:rPr>
        <w:t xml:space="preserve"> и утвърдени от Академичният съвет, които се оповест</w:t>
      </w:r>
      <w:r w:rsidR="005378BA">
        <w:rPr>
          <w:rFonts w:ascii="Times New Roman" w:hAnsi="Times New Roman" w:cs="Times New Roman"/>
          <w:sz w:val="24"/>
          <w:szCs w:val="24"/>
          <w:lang w:val="bg-BG"/>
        </w:rPr>
        <w:t>яват при обявяване на конкурса</w:t>
      </w:r>
      <w:r w:rsidR="00CF0CC8" w:rsidRPr="00D6579F">
        <w:rPr>
          <w:rFonts w:ascii="Times New Roman" w:hAnsi="Times New Roman" w:cs="Times New Roman"/>
          <w:sz w:val="24"/>
          <w:szCs w:val="24"/>
          <w:lang w:val="bg-BG"/>
        </w:rPr>
        <w:t>.</w:t>
      </w:r>
    </w:p>
    <w:p w:rsidR="000E328E" w:rsidRDefault="004D3AD7" w:rsidP="00E33926">
      <w:pPr>
        <w:spacing w:after="0"/>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Проектите се оценяват </w:t>
      </w:r>
      <w:r w:rsidR="005378BA">
        <w:rPr>
          <w:rFonts w:ascii="Times New Roman" w:hAnsi="Times New Roman" w:cs="Times New Roman"/>
          <w:sz w:val="24"/>
          <w:szCs w:val="24"/>
          <w:lang w:val="bg-BG"/>
        </w:rPr>
        <w:t xml:space="preserve">и разпределят за рецензиране </w:t>
      </w:r>
      <w:r w:rsidRPr="00D6579F">
        <w:rPr>
          <w:rFonts w:ascii="Times New Roman" w:hAnsi="Times New Roman" w:cs="Times New Roman"/>
          <w:sz w:val="24"/>
          <w:szCs w:val="24"/>
          <w:lang w:val="bg-BG"/>
        </w:rPr>
        <w:t xml:space="preserve">от факултетните научни комисии. </w:t>
      </w:r>
      <w:r w:rsidR="00C30A26" w:rsidRPr="00D6579F">
        <w:rPr>
          <w:rFonts w:ascii="Times New Roman" w:hAnsi="Times New Roman" w:cs="Times New Roman"/>
          <w:sz w:val="24"/>
          <w:szCs w:val="24"/>
          <w:lang w:val="bg-BG"/>
        </w:rPr>
        <w:t xml:space="preserve">Проектите на департаментите се оценяват </w:t>
      </w:r>
      <w:r w:rsidR="005378BA">
        <w:rPr>
          <w:rFonts w:ascii="Times New Roman" w:hAnsi="Times New Roman" w:cs="Times New Roman"/>
          <w:sz w:val="24"/>
          <w:szCs w:val="24"/>
          <w:lang w:val="bg-BG"/>
        </w:rPr>
        <w:t xml:space="preserve">и разпределят за рецензиране </w:t>
      </w:r>
      <w:r w:rsidR="00C30A26" w:rsidRPr="00D6579F">
        <w:rPr>
          <w:rFonts w:ascii="Times New Roman" w:hAnsi="Times New Roman" w:cs="Times New Roman"/>
          <w:sz w:val="24"/>
          <w:szCs w:val="24"/>
          <w:lang w:val="bg-BG"/>
        </w:rPr>
        <w:t>от научна комисия на департаментите, а проектите на другите звена – от факултетните научни комисии</w:t>
      </w:r>
      <w:r w:rsidR="005378BA">
        <w:rPr>
          <w:rFonts w:ascii="Times New Roman" w:hAnsi="Times New Roman" w:cs="Times New Roman"/>
          <w:sz w:val="24"/>
          <w:szCs w:val="24"/>
          <w:lang w:val="bg-BG"/>
        </w:rPr>
        <w:t>, компетентни в съответната научна област</w:t>
      </w:r>
      <w:r w:rsidR="00C30A26" w:rsidRPr="00D6579F">
        <w:rPr>
          <w:rFonts w:ascii="Times New Roman" w:hAnsi="Times New Roman" w:cs="Times New Roman"/>
          <w:sz w:val="24"/>
          <w:szCs w:val="24"/>
          <w:lang w:val="bg-BG"/>
        </w:rPr>
        <w:t>.</w:t>
      </w:r>
    </w:p>
    <w:p w:rsidR="00E33926" w:rsidRPr="00E33926" w:rsidRDefault="00E33926" w:rsidP="00E33926">
      <w:pPr>
        <w:spacing w:after="0"/>
        <w:ind w:left="360"/>
        <w:jc w:val="both"/>
        <w:rPr>
          <w:rFonts w:ascii="Times New Roman" w:hAnsi="Times New Roman" w:cs="Times New Roman"/>
          <w:sz w:val="24"/>
          <w:szCs w:val="24"/>
          <w:lang w:val="bg-BG"/>
        </w:rPr>
      </w:pPr>
    </w:p>
    <w:p w:rsidR="000E328E" w:rsidRPr="00D6579F" w:rsidRDefault="008459E5" w:rsidP="00E33926">
      <w:pPr>
        <w:spacing w:after="0"/>
        <w:ind w:left="360"/>
        <w:jc w:val="both"/>
        <w:rPr>
          <w:rFonts w:ascii="Times New Roman" w:hAnsi="Times New Roman" w:cs="Times New Roman"/>
          <w:sz w:val="24"/>
          <w:szCs w:val="24"/>
          <w:lang w:val="bg-BG"/>
        </w:rPr>
      </w:pPr>
      <w:bookmarkStart w:id="10" w:name="_Toc36023093"/>
      <w:r w:rsidRPr="00D6579F">
        <w:rPr>
          <w:rStyle w:val="Heading1Char"/>
          <w:rFonts w:ascii="Times New Roman" w:hAnsi="Times New Roman" w:cs="Times New Roman"/>
          <w:sz w:val="24"/>
          <w:szCs w:val="24"/>
          <w:lang w:val="bg-BG"/>
        </w:rPr>
        <w:t>3</w:t>
      </w:r>
      <w:r w:rsidR="003C604B" w:rsidRPr="00D6579F">
        <w:rPr>
          <w:rStyle w:val="Heading1Char"/>
          <w:rFonts w:ascii="Times New Roman" w:hAnsi="Times New Roman" w:cs="Times New Roman"/>
          <w:sz w:val="24"/>
          <w:szCs w:val="24"/>
          <w:lang w:val="bg-BG"/>
        </w:rPr>
        <w:t xml:space="preserve">.1. </w:t>
      </w:r>
      <w:proofErr w:type="spellStart"/>
      <w:r w:rsidR="004D3AD7" w:rsidRPr="00D6579F">
        <w:rPr>
          <w:rStyle w:val="Heading1Char"/>
          <w:rFonts w:ascii="Times New Roman" w:hAnsi="Times New Roman" w:cs="Times New Roman"/>
          <w:sz w:val="24"/>
          <w:szCs w:val="24"/>
        </w:rPr>
        <w:t>Административно</w:t>
      </w:r>
      <w:proofErr w:type="spellEnd"/>
      <w:r w:rsidR="004D3AD7" w:rsidRPr="00D6579F">
        <w:rPr>
          <w:rStyle w:val="Heading1Char"/>
          <w:rFonts w:ascii="Times New Roman" w:hAnsi="Times New Roman" w:cs="Times New Roman"/>
          <w:sz w:val="24"/>
          <w:szCs w:val="24"/>
        </w:rPr>
        <w:t xml:space="preserve"> </w:t>
      </w:r>
      <w:proofErr w:type="spellStart"/>
      <w:r w:rsidR="004D3AD7" w:rsidRPr="00D6579F">
        <w:rPr>
          <w:rStyle w:val="Heading1Char"/>
          <w:rFonts w:ascii="Times New Roman" w:hAnsi="Times New Roman" w:cs="Times New Roman"/>
          <w:sz w:val="24"/>
          <w:szCs w:val="24"/>
        </w:rPr>
        <w:t>съответствие</w:t>
      </w:r>
      <w:bookmarkEnd w:id="10"/>
      <w:proofErr w:type="spellEnd"/>
      <w:r w:rsidR="004D3AD7" w:rsidRPr="00D6579F">
        <w:rPr>
          <w:rFonts w:ascii="Times New Roman" w:hAnsi="Times New Roman" w:cs="Times New Roman"/>
          <w:sz w:val="24"/>
          <w:szCs w:val="24"/>
          <w:lang w:val="bg-BG"/>
        </w:rPr>
        <w:t xml:space="preserve"> - до една седмица от изтичане на срока за подаване на проектни предложения, </w:t>
      </w:r>
      <w:r w:rsidR="007B49E8">
        <w:rPr>
          <w:rFonts w:ascii="Times New Roman" w:hAnsi="Times New Roman" w:cs="Times New Roman"/>
          <w:sz w:val="24"/>
          <w:szCs w:val="24"/>
          <w:lang w:val="bg-BG"/>
        </w:rPr>
        <w:t>научните комисии</w:t>
      </w:r>
      <w:r w:rsidR="004D3AD7" w:rsidRPr="00D6579F">
        <w:rPr>
          <w:rFonts w:ascii="Times New Roman" w:hAnsi="Times New Roman" w:cs="Times New Roman"/>
          <w:sz w:val="24"/>
          <w:szCs w:val="24"/>
          <w:lang w:val="bg-BG"/>
        </w:rPr>
        <w:t xml:space="preserve"> проверяват проектите за съответствие с формалните изисквания и избират за всеки допуснат проект по двама рецензенти.</w:t>
      </w:r>
    </w:p>
    <w:p w:rsidR="00B41280" w:rsidRPr="00B41280" w:rsidRDefault="004D3AD7" w:rsidP="00B41280">
      <w:pPr>
        <w:pStyle w:val="Heading1"/>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 </w:t>
      </w:r>
      <w:r w:rsidR="008459E5" w:rsidRPr="00D6579F">
        <w:rPr>
          <w:rFonts w:ascii="Times New Roman" w:hAnsi="Times New Roman" w:cs="Times New Roman"/>
          <w:sz w:val="24"/>
          <w:szCs w:val="24"/>
          <w:lang w:val="bg-BG"/>
        </w:rPr>
        <w:t xml:space="preserve">     </w:t>
      </w:r>
      <w:bookmarkStart w:id="11" w:name="_Toc36023094"/>
      <w:r w:rsidR="008459E5" w:rsidRPr="00D6579F">
        <w:rPr>
          <w:rFonts w:ascii="Times New Roman" w:hAnsi="Times New Roman" w:cs="Times New Roman"/>
          <w:sz w:val="24"/>
          <w:szCs w:val="24"/>
          <w:lang w:val="bg-BG"/>
        </w:rPr>
        <w:t xml:space="preserve">3.2. </w:t>
      </w:r>
      <w:r w:rsidRPr="00D6579F">
        <w:rPr>
          <w:rFonts w:ascii="Times New Roman" w:hAnsi="Times New Roman" w:cs="Times New Roman"/>
          <w:sz w:val="24"/>
          <w:szCs w:val="24"/>
          <w:lang w:val="bg-BG"/>
        </w:rPr>
        <w:t>Научна оценка</w:t>
      </w:r>
      <w:bookmarkEnd w:id="11"/>
    </w:p>
    <w:p w:rsidR="004D3AD7" w:rsidRPr="00D6579F" w:rsidRDefault="004D3AD7" w:rsidP="004D3AD7">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Рецензиите се оформят съгласно екс</w:t>
      </w:r>
      <w:r w:rsidR="00854F2C">
        <w:rPr>
          <w:rFonts w:ascii="Times New Roman" w:hAnsi="Times New Roman" w:cs="Times New Roman"/>
          <w:sz w:val="24"/>
          <w:szCs w:val="24"/>
          <w:lang w:val="bg-BG"/>
        </w:rPr>
        <w:t>пертни карти за оценка</w:t>
      </w:r>
      <w:r w:rsidRPr="00D6579F">
        <w:rPr>
          <w:rFonts w:ascii="Times New Roman" w:hAnsi="Times New Roman" w:cs="Times New Roman"/>
          <w:sz w:val="24"/>
          <w:szCs w:val="24"/>
          <w:lang w:val="bg-BG"/>
        </w:rPr>
        <w:t xml:space="preserve"> </w:t>
      </w:r>
      <w:r w:rsidR="002F1695">
        <w:rPr>
          <w:rFonts w:ascii="Times New Roman" w:hAnsi="Times New Roman" w:cs="Times New Roman"/>
          <w:sz w:val="24"/>
          <w:szCs w:val="24"/>
          <w:lang w:val="bg-BG"/>
        </w:rPr>
        <w:t>по образец</w:t>
      </w:r>
      <w:r w:rsidRPr="00D6579F">
        <w:rPr>
          <w:rFonts w:ascii="Times New Roman" w:hAnsi="Times New Roman" w:cs="Times New Roman"/>
          <w:sz w:val="24"/>
          <w:szCs w:val="24"/>
          <w:lang w:val="bg-BG"/>
        </w:rPr>
        <w:t>. Рецензент може да бъде лице, притежаващо поне научна степен „Доктор“, което не участва като ръководител на проектно предложение в същата конкурсна сесия.</w:t>
      </w:r>
    </w:p>
    <w:p w:rsidR="004D3AD7" w:rsidRPr="00D6579F" w:rsidRDefault="008459E5" w:rsidP="008459E5">
      <w:pPr>
        <w:pStyle w:val="Heading1"/>
        <w:ind w:firstLine="360"/>
        <w:rPr>
          <w:rFonts w:ascii="Times New Roman" w:hAnsi="Times New Roman" w:cs="Times New Roman"/>
          <w:sz w:val="24"/>
          <w:szCs w:val="24"/>
          <w:lang w:val="bg-BG"/>
        </w:rPr>
      </w:pPr>
      <w:bookmarkStart w:id="12" w:name="_Toc36023095"/>
      <w:r w:rsidRPr="00D6579F">
        <w:rPr>
          <w:rFonts w:ascii="Times New Roman" w:hAnsi="Times New Roman" w:cs="Times New Roman"/>
          <w:sz w:val="24"/>
          <w:szCs w:val="24"/>
          <w:lang w:val="bg-BG"/>
        </w:rPr>
        <w:t xml:space="preserve">3.3. </w:t>
      </w:r>
      <w:r w:rsidR="004D3AD7" w:rsidRPr="00D6579F">
        <w:rPr>
          <w:rFonts w:ascii="Times New Roman" w:hAnsi="Times New Roman" w:cs="Times New Roman"/>
          <w:sz w:val="24"/>
          <w:szCs w:val="24"/>
          <w:lang w:val="bg-BG"/>
        </w:rPr>
        <w:t>Класиране</w:t>
      </w:r>
      <w:bookmarkEnd w:id="12"/>
    </w:p>
    <w:p w:rsidR="00E33926" w:rsidRDefault="004D3AD7" w:rsidP="00A566B3">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В срок до 5 дни след получаване на рецензиите, комисиите класират проектите и правят предложение пред УС за финансиране. В едноседмичен срок от получаване на </w:t>
      </w:r>
      <w:r w:rsidR="00A566B3">
        <w:rPr>
          <w:rFonts w:ascii="Times New Roman" w:hAnsi="Times New Roman" w:cs="Times New Roman"/>
          <w:sz w:val="24"/>
          <w:szCs w:val="24"/>
          <w:lang w:val="bg-BG"/>
        </w:rPr>
        <w:t xml:space="preserve">протоколите </w:t>
      </w:r>
      <w:r w:rsidRPr="00D6579F">
        <w:rPr>
          <w:rFonts w:ascii="Times New Roman" w:hAnsi="Times New Roman" w:cs="Times New Roman"/>
          <w:sz w:val="24"/>
          <w:szCs w:val="24"/>
          <w:lang w:val="bg-BG"/>
        </w:rPr>
        <w:t>от</w:t>
      </w:r>
      <w:r w:rsidR="00A566B3">
        <w:rPr>
          <w:rFonts w:ascii="Times New Roman" w:hAnsi="Times New Roman" w:cs="Times New Roman"/>
          <w:sz w:val="24"/>
          <w:szCs w:val="24"/>
          <w:lang w:val="bg-BG"/>
        </w:rPr>
        <w:t xml:space="preserve"> заседанията на</w:t>
      </w:r>
      <w:r w:rsidRPr="00D6579F">
        <w:rPr>
          <w:rFonts w:ascii="Times New Roman" w:hAnsi="Times New Roman" w:cs="Times New Roman"/>
          <w:sz w:val="24"/>
          <w:szCs w:val="24"/>
          <w:lang w:val="bg-BG"/>
        </w:rPr>
        <w:t xml:space="preserve"> комисиите, УС разглежда предложенията, класира проектите и взема решение за финансиране.</w:t>
      </w:r>
      <w:r w:rsidRPr="00D6579F">
        <w:rPr>
          <w:rFonts w:ascii="Times New Roman" w:hAnsi="Times New Roman" w:cs="Times New Roman"/>
          <w:sz w:val="24"/>
          <w:szCs w:val="24"/>
        </w:rPr>
        <w:t xml:space="preserve"> </w:t>
      </w:r>
      <w:r w:rsidRPr="00D6579F">
        <w:rPr>
          <w:rFonts w:ascii="Times New Roman" w:hAnsi="Times New Roman" w:cs="Times New Roman"/>
          <w:sz w:val="24"/>
          <w:szCs w:val="24"/>
          <w:lang w:val="bg-BG"/>
        </w:rPr>
        <w:t>Списък на одобрените проекти се публикува в електронната платформа</w:t>
      </w:r>
      <w:r w:rsidR="00A566B3">
        <w:rPr>
          <w:rFonts w:ascii="Times New Roman" w:hAnsi="Times New Roman" w:cs="Times New Roman"/>
          <w:sz w:val="24"/>
          <w:szCs w:val="24"/>
          <w:lang w:val="bg-BG"/>
        </w:rPr>
        <w:t xml:space="preserve"> до 3 дни след заседанието на УС</w:t>
      </w:r>
      <w:r w:rsidRPr="00D6579F">
        <w:rPr>
          <w:rFonts w:ascii="Times New Roman" w:hAnsi="Times New Roman" w:cs="Times New Roman"/>
          <w:sz w:val="24"/>
          <w:szCs w:val="24"/>
          <w:lang w:val="bg-BG"/>
        </w:rPr>
        <w:t>. Решението на УС е окончателно и не подлежи на преразглеждане</w:t>
      </w:r>
      <w:r w:rsidR="00C528B8" w:rsidRPr="00D6579F">
        <w:rPr>
          <w:rFonts w:ascii="Times New Roman" w:hAnsi="Times New Roman" w:cs="Times New Roman"/>
          <w:sz w:val="24"/>
          <w:szCs w:val="24"/>
          <w:lang w:val="bg-BG"/>
        </w:rPr>
        <w:t>.</w:t>
      </w:r>
    </w:p>
    <w:p w:rsidR="00A566B3" w:rsidRPr="00D6579F" w:rsidRDefault="00A566B3" w:rsidP="00A566B3">
      <w:pPr>
        <w:ind w:left="360"/>
        <w:jc w:val="both"/>
        <w:rPr>
          <w:rFonts w:ascii="Times New Roman" w:hAnsi="Times New Roman" w:cs="Times New Roman"/>
          <w:sz w:val="24"/>
          <w:szCs w:val="24"/>
          <w:lang w:val="bg-BG"/>
        </w:rPr>
      </w:pPr>
    </w:p>
    <w:p w:rsidR="00E33926" w:rsidRDefault="00C528B8" w:rsidP="00E33926">
      <w:pPr>
        <w:pStyle w:val="Heading1"/>
        <w:numPr>
          <w:ilvl w:val="0"/>
          <w:numId w:val="7"/>
        </w:numPr>
        <w:spacing w:before="0" w:line="240" w:lineRule="auto"/>
        <w:rPr>
          <w:rFonts w:ascii="Times New Roman" w:hAnsi="Times New Roman" w:cs="Times New Roman"/>
          <w:b/>
          <w:sz w:val="24"/>
          <w:szCs w:val="24"/>
          <w:lang w:val="bg-BG"/>
        </w:rPr>
      </w:pPr>
      <w:bookmarkStart w:id="13" w:name="_Toc36023096"/>
      <w:r w:rsidRPr="00D6579F">
        <w:rPr>
          <w:rFonts w:ascii="Times New Roman" w:hAnsi="Times New Roman" w:cs="Times New Roman"/>
          <w:b/>
          <w:sz w:val="24"/>
          <w:szCs w:val="24"/>
          <w:lang w:val="bg-BG"/>
        </w:rPr>
        <w:t>Изпълнение на проектите</w:t>
      </w:r>
      <w:bookmarkEnd w:id="13"/>
    </w:p>
    <w:p w:rsidR="00A566B3" w:rsidRPr="00A566B3" w:rsidRDefault="00A566B3" w:rsidP="00A566B3">
      <w:pPr>
        <w:spacing w:after="0"/>
        <w:rPr>
          <w:lang w:val="bg-BG"/>
        </w:rPr>
      </w:pPr>
    </w:p>
    <w:p w:rsidR="008459E5" w:rsidRPr="00D6579F" w:rsidRDefault="00C528B8" w:rsidP="00E33926">
      <w:pPr>
        <w:pStyle w:val="Heading1"/>
        <w:numPr>
          <w:ilvl w:val="1"/>
          <w:numId w:val="7"/>
        </w:numPr>
        <w:spacing w:before="0"/>
        <w:rPr>
          <w:rFonts w:ascii="Times New Roman" w:hAnsi="Times New Roman" w:cs="Times New Roman"/>
          <w:sz w:val="24"/>
          <w:szCs w:val="24"/>
          <w:lang w:val="bg-BG"/>
        </w:rPr>
      </w:pPr>
      <w:bookmarkStart w:id="14" w:name="_Toc36023097"/>
      <w:r w:rsidRPr="00D6579F">
        <w:rPr>
          <w:rFonts w:ascii="Times New Roman" w:hAnsi="Times New Roman" w:cs="Times New Roman"/>
          <w:sz w:val="24"/>
          <w:szCs w:val="24"/>
          <w:lang w:val="bg-BG"/>
        </w:rPr>
        <w:t>Сключване на договори</w:t>
      </w:r>
      <w:bookmarkEnd w:id="14"/>
    </w:p>
    <w:p w:rsidR="008459E5" w:rsidRPr="00D6579F" w:rsidRDefault="008459E5" w:rsidP="008459E5">
      <w:pPr>
        <w:spacing w:after="0"/>
        <w:rPr>
          <w:rFonts w:ascii="Times New Roman" w:hAnsi="Times New Roman" w:cs="Times New Roman"/>
          <w:sz w:val="24"/>
          <w:szCs w:val="24"/>
          <w:lang w:val="bg-BG"/>
        </w:rPr>
      </w:pPr>
    </w:p>
    <w:p w:rsidR="00AD00EE" w:rsidRPr="00D6579F" w:rsidRDefault="00C528B8" w:rsidP="00AD00EE">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Договорите с ръководителите на одобрените проекти се сключват в 10-дневен срок след официалното публикуване на резултатите от конкурса. </w:t>
      </w:r>
      <w:r w:rsidR="00F91DC1">
        <w:rPr>
          <w:rFonts w:ascii="Times New Roman" w:hAnsi="Times New Roman" w:cs="Times New Roman"/>
          <w:sz w:val="24"/>
          <w:szCs w:val="24"/>
          <w:lang w:val="bg-BG"/>
        </w:rPr>
        <w:t xml:space="preserve">Редът за сключване на договорите се оповестява в електронната платоформа и се разгласява сред ръководителите по електронна поща. </w:t>
      </w:r>
      <w:r w:rsidRPr="00D6579F">
        <w:rPr>
          <w:rFonts w:ascii="Times New Roman" w:hAnsi="Times New Roman" w:cs="Times New Roman"/>
          <w:sz w:val="24"/>
          <w:szCs w:val="24"/>
          <w:lang w:val="bg-BG"/>
        </w:rPr>
        <w:t>Договорите са със срок на изпълнение до 10 декември на съответната година.</w:t>
      </w:r>
      <w:r w:rsidR="00AD00EE" w:rsidRPr="00D6579F">
        <w:rPr>
          <w:rFonts w:ascii="Times New Roman" w:hAnsi="Times New Roman" w:cs="Times New Roman"/>
          <w:sz w:val="24"/>
          <w:szCs w:val="24"/>
          <w:lang w:val="bg-BG"/>
        </w:rPr>
        <w:t xml:space="preserve"> </w:t>
      </w:r>
    </w:p>
    <w:p w:rsidR="00AD00EE" w:rsidRPr="00D6579F" w:rsidRDefault="00AD00EE" w:rsidP="00AD00EE">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Договорът съдържа заглавието, предмет</w:t>
      </w:r>
      <w:r w:rsidR="00F91DC1">
        <w:rPr>
          <w:rFonts w:ascii="Times New Roman" w:hAnsi="Times New Roman" w:cs="Times New Roman"/>
          <w:sz w:val="24"/>
          <w:szCs w:val="24"/>
          <w:lang w:val="bg-BG"/>
        </w:rPr>
        <w:t>а</w:t>
      </w:r>
      <w:r w:rsidRPr="00D6579F">
        <w:rPr>
          <w:rFonts w:ascii="Times New Roman" w:hAnsi="Times New Roman" w:cs="Times New Roman"/>
          <w:sz w:val="24"/>
          <w:szCs w:val="24"/>
          <w:lang w:val="bg-BG"/>
        </w:rPr>
        <w:t xml:space="preserve"> и цели на проекта, очакваните резултати, показателите за наблюдение и оценка на изпълнението, предпоставките за постигане на заложените резултати, междинните и крайните срокове на изпълнение, вида и обема на дейностите, размера на отпуснатите средства и начина на отчитане и приемане на резултатите.  Договорът се придружава от четири приложения: приложение 1 - научен план (анотация); приложение 2 - работна програма; приложение 3 - основен състав на научния колектив (списък с подписи на членовете на екипа); приложение 4 - бюджет на проекта.</w:t>
      </w:r>
    </w:p>
    <w:p w:rsidR="00C528B8" w:rsidRPr="00D6579F" w:rsidRDefault="00C528B8" w:rsidP="00C528B8">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Ако ръководител на одобрен проект не е в състояние да подпише договор, той е длъжен да уведоми съответната научна комисия в срок до два месеца от официалното публикуване на </w:t>
      </w:r>
      <w:r w:rsidRPr="00D6579F">
        <w:rPr>
          <w:rFonts w:ascii="Times New Roman" w:hAnsi="Times New Roman" w:cs="Times New Roman"/>
          <w:sz w:val="24"/>
          <w:szCs w:val="24"/>
          <w:lang w:val="bg-BG"/>
        </w:rPr>
        <w:lastRenderedPageBreak/>
        <w:t>резултатите. В противен случай съответният преподавател губи правото да участва в следващите две сесии на конкурса.</w:t>
      </w:r>
    </w:p>
    <w:p w:rsidR="00B861CC" w:rsidRPr="00D6579F" w:rsidRDefault="00B861CC" w:rsidP="00B861CC">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Рецензентите и размерът на хонорара за рецензия на отчет, се определят от съответната </w:t>
      </w:r>
      <w:r w:rsidR="00F91DC1">
        <w:rPr>
          <w:rFonts w:ascii="Times New Roman" w:hAnsi="Times New Roman" w:cs="Times New Roman"/>
          <w:sz w:val="24"/>
          <w:szCs w:val="24"/>
          <w:lang w:val="bg-BG"/>
        </w:rPr>
        <w:t xml:space="preserve">научна </w:t>
      </w:r>
      <w:r w:rsidRPr="00D6579F">
        <w:rPr>
          <w:rFonts w:ascii="Times New Roman" w:hAnsi="Times New Roman" w:cs="Times New Roman"/>
          <w:sz w:val="24"/>
          <w:szCs w:val="24"/>
          <w:lang w:val="bg-BG"/>
        </w:rPr>
        <w:t>комисия. Рецензията се заплаща в рамките на предоставените средства за изпълнение на договора, като размерът на възнаграждението съответства на хонорара за първоначална рецензия на проектно предложение.</w:t>
      </w:r>
    </w:p>
    <w:p w:rsidR="00B861CC" w:rsidRPr="00D6579F" w:rsidRDefault="00B861CC" w:rsidP="000E328E">
      <w:pPr>
        <w:jc w:val="both"/>
        <w:rPr>
          <w:rFonts w:ascii="Times New Roman" w:hAnsi="Times New Roman" w:cs="Times New Roman"/>
          <w:sz w:val="24"/>
          <w:szCs w:val="24"/>
          <w:lang w:val="bg-BG"/>
        </w:rPr>
      </w:pPr>
    </w:p>
    <w:p w:rsidR="000E328E" w:rsidRPr="00E33926" w:rsidRDefault="008459E5" w:rsidP="00E33926">
      <w:pPr>
        <w:pStyle w:val="Heading1"/>
        <w:numPr>
          <w:ilvl w:val="1"/>
          <w:numId w:val="7"/>
        </w:numPr>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 </w:t>
      </w:r>
      <w:bookmarkStart w:id="15" w:name="_Toc36023098"/>
      <w:r w:rsidR="000E328E" w:rsidRPr="00D6579F">
        <w:rPr>
          <w:rFonts w:ascii="Times New Roman" w:hAnsi="Times New Roman" w:cs="Times New Roman"/>
          <w:sz w:val="24"/>
          <w:szCs w:val="24"/>
          <w:lang w:val="bg-BG"/>
        </w:rPr>
        <w:t>Финансово изпълнение</w:t>
      </w:r>
      <w:bookmarkEnd w:id="15"/>
    </w:p>
    <w:p w:rsidR="000E328E" w:rsidRPr="00D6579F" w:rsidRDefault="000E328E" w:rsidP="008459E5">
      <w:pPr>
        <w:pStyle w:val="Heading1"/>
        <w:numPr>
          <w:ilvl w:val="2"/>
          <w:numId w:val="7"/>
        </w:numPr>
        <w:rPr>
          <w:rFonts w:ascii="Times New Roman" w:hAnsi="Times New Roman" w:cs="Times New Roman"/>
          <w:sz w:val="24"/>
          <w:szCs w:val="24"/>
          <w:lang w:val="bg-BG"/>
        </w:rPr>
      </w:pPr>
      <w:bookmarkStart w:id="16" w:name="_Toc36023099"/>
      <w:r w:rsidRPr="00D6579F">
        <w:rPr>
          <w:rFonts w:ascii="Times New Roman" w:hAnsi="Times New Roman" w:cs="Times New Roman"/>
          <w:sz w:val="24"/>
          <w:szCs w:val="24"/>
          <w:lang w:val="bg-BG"/>
        </w:rPr>
        <w:t>Разходване на средствата</w:t>
      </w:r>
      <w:bookmarkEnd w:id="16"/>
    </w:p>
    <w:p w:rsidR="000E328E" w:rsidRPr="00D6579F" w:rsidRDefault="000E328E" w:rsidP="000E328E">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Изразходването и отчитането на средствата се извършва съобразно финансовото разпределение в бюджета и при спазване на  следния ред, указан в до</w:t>
      </w:r>
      <w:r w:rsidR="00F91DC1">
        <w:rPr>
          <w:rFonts w:ascii="Times New Roman" w:hAnsi="Times New Roman" w:cs="Times New Roman"/>
          <w:sz w:val="24"/>
          <w:szCs w:val="24"/>
          <w:lang w:val="bg-BG"/>
        </w:rPr>
        <w:t>говора</w:t>
      </w:r>
      <w:r w:rsidRPr="00D6579F">
        <w:rPr>
          <w:rFonts w:ascii="Times New Roman" w:hAnsi="Times New Roman" w:cs="Times New Roman"/>
          <w:sz w:val="24"/>
          <w:szCs w:val="24"/>
          <w:lang w:val="bg-BG"/>
        </w:rPr>
        <w:t>:</w:t>
      </w:r>
    </w:p>
    <w:p w:rsidR="000E328E" w:rsidRPr="00D6579F" w:rsidRDefault="000E328E" w:rsidP="000E328E">
      <w:pPr>
        <w:jc w:val="both"/>
        <w:rPr>
          <w:rFonts w:ascii="Times New Roman" w:hAnsi="Times New Roman" w:cs="Times New Roman"/>
          <w:sz w:val="24"/>
          <w:szCs w:val="24"/>
          <w:u w:val="single"/>
          <w:lang w:val="bg-BG"/>
        </w:rPr>
        <w:sectPr w:rsidR="000E328E" w:rsidRPr="00D6579F" w:rsidSect="00785C29">
          <w:pgSz w:w="12240" w:h="15840"/>
          <w:pgMar w:top="540" w:right="1170" w:bottom="1440" w:left="990" w:header="720" w:footer="720" w:gutter="0"/>
          <w:cols w:space="720"/>
          <w:docGrid w:linePitch="360"/>
        </w:sectPr>
      </w:pPr>
    </w:p>
    <w:p w:rsidR="000A7DAF" w:rsidRPr="00D6579F" w:rsidRDefault="000A7DAF" w:rsidP="00391E5F">
      <w:pPr>
        <w:contextualSpacing/>
        <w:jc w:val="both"/>
        <w:rPr>
          <w:rFonts w:ascii="Times New Roman" w:hAnsi="Times New Roman" w:cs="Times New Roman"/>
          <w:sz w:val="24"/>
          <w:szCs w:val="24"/>
          <w:lang w:val="bg-BG"/>
        </w:rPr>
      </w:pPr>
    </w:p>
    <w:tbl>
      <w:tblPr>
        <w:tblW w:w="1441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5"/>
        <w:gridCol w:w="6570"/>
        <w:gridCol w:w="3150"/>
      </w:tblGrid>
      <w:tr w:rsidR="00DC273F" w:rsidRPr="00216E9D" w:rsidTr="00F57C45">
        <w:trPr>
          <w:trHeight w:val="20"/>
        </w:trPr>
        <w:tc>
          <w:tcPr>
            <w:tcW w:w="4695" w:type="dxa"/>
            <w:shd w:val="clear" w:color="auto" w:fill="auto"/>
            <w:vAlign w:val="center"/>
            <w:hideMark/>
          </w:tcPr>
          <w:p w:rsidR="00DC273F" w:rsidRPr="00216E9D" w:rsidRDefault="00DC273F" w:rsidP="00D75CB2">
            <w:pPr>
              <w:contextualSpacing/>
              <w:jc w:val="center"/>
              <w:rPr>
                <w:rFonts w:ascii="Times New Roman" w:hAnsi="Times New Roman" w:cs="Times New Roman"/>
                <w:b/>
                <w:bCs/>
                <w:color w:val="000000"/>
                <w:lang w:val="bg-BG"/>
              </w:rPr>
            </w:pPr>
            <w:r w:rsidRPr="00216E9D">
              <w:rPr>
                <w:rFonts w:ascii="Times New Roman" w:hAnsi="Times New Roman" w:cs="Times New Roman"/>
                <w:b/>
                <w:bCs/>
                <w:color w:val="000000"/>
                <w:lang w:val="bg-BG"/>
              </w:rPr>
              <w:t>вид на разхода</w:t>
            </w:r>
          </w:p>
        </w:tc>
        <w:tc>
          <w:tcPr>
            <w:tcW w:w="6570" w:type="dxa"/>
            <w:shd w:val="clear" w:color="auto" w:fill="auto"/>
            <w:vAlign w:val="center"/>
            <w:hideMark/>
          </w:tcPr>
          <w:p w:rsidR="00DC273F" w:rsidRPr="00216E9D" w:rsidRDefault="00DC273F" w:rsidP="00D75CB2">
            <w:pPr>
              <w:contextualSpacing/>
              <w:jc w:val="center"/>
              <w:rPr>
                <w:rFonts w:ascii="Times New Roman" w:hAnsi="Times New Roman" w:cs="Times New Roman"/>
                <w:b/>
                <w:bCs/>
                <w:color w:val="000000"/>
                <w:lang w:val="bg-BG"/>
              </w:rPr>
            </w:pPr>
            <w:r w:rsidRPr="00216E9D">
              <w:rPr>
                <w:rFonts w:ascii="Times New Roman" w:hAnsi="Times New Roman" w:cs="Times New Roman"/>
                <w:b/>
                <w:bCs/>
                <w:color w:val="000000"/>
                <w:lang w:val="bg-BG"/>
              </w:rPr>
              <w:t>ред за изразходване</w:t>
            </w:r>
          </w:p>
        </w:tc>
        <w:tc>
          <w:tcPr>
            <w:tcW w:w="3150" w:type="dxa"/>
            <w:shd w:val="clear" w:color="auto" w:fill="auto"/>
            <w:vAlign w:val="center"/>
            <w:hideMark/>
          </w:tcPr>
          <w:p w:rsidR="00DC273F" w:rsidRPr="00216E9D" w:rsidRDefault="00DC273F" w:rsidP="00D75CB2">
            <w:pPr>
              <w:contextualSpacing/>
              <w:jc w:val="center"/>
              <w:rPr>
                <w:rFonts w:ascii="Times New Roman" w:hAnsi="Times New Roman" w:cs="Times New Roman"/>
                <w:b/>
                <w:bCs/>
                <w:color w:val="000000"/>
                <w:lang w:val="bg-BG"/>
              </w:rPr>
            </w:pPr>
            <w:r w:rsidRPr="00216E9D">
              <w:rPr>
                <w:rFonts w:ascii="Times New Roman" w:hAnsi="Times New Roman" w:cs="Times New Roman"/>
                <w:b/>
                <w:bCs/>
                <w:color w:val="000000"/>
                <w:lang w:val="bg-BG"/>
              </w:rPr>
              <w:t>документи за отчитане</w:t>
            </w:r>
          </w:p>
        </w:tc>
      </w:tr>
      <w:tr w:rsidR="00DC273F" w:rsidRPr="00216E9D" w:rsidTr="00F57C45">
        <w:trPr>
          <w:trHeight w:val="20"/>
        </w:trPr>
        <w:tc>
          <w:tcPr>
            <w:tcW w:w="4695" w:type="dxa"/>
            <w:shd w:val="clear" w:color="auto" w:fill="auto"/>
            <w:vAlign w:val="center"/>
            <w:hideMark/>
          </w:tcPr>
          <w:p w:rsidR="00DC273F" w:rsidRPr="00216E9D" w:rsidRDefault="00DC273F" w:rsidP="00D75CB2">
            <w:pPr>
              <w:contextualSpacing/>
              <w:jc w:val="both"/>
              <w:rPr>
                <w:rFonts w:ascii="Times New Roman" w:hAnsi="Times New Roman" w:cs="Times New Roman"/>
                <w:b/>
                <w:bCs/>
                <w:color w:val="000000"/>
                <w:lang w:val="bg-BG"/>
              </w:rPr>
            </w:pPr>
            <w:r w:rsidRPr="00216E9D">
              <w:rPr>
                <w:rFonts w:ascii="Times New Roman" w:hAnsi="Times New Roman" w:cs="Times New Roman"/>
                <w:b/>
                <w:bCs/>
                <w:color w:val="000000"/>
                <w:lang w:val="bg-BG"/>
              </w:rPr>
              <w:t>Разходи за възнаграждения на участниците в изпълнението на финансирания проект (точка 1 от бюджета)</w:t>
            </w:r>
          </w:p>
        </w:tc>
        <w:tc>
          <w:tcPr>
            <w:tcW w:w="6570" w:type="dxa"/>
            <w:shd w:val="clear" w:color="auto" w:fill="auto"/>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Инициатива (доклад) от ръководителя на проектния колектив за определяне на членовете на екипа по чл. 31 от ВПРЗ, въз основа на който се издава заповед на Ректора за назначаване на екипа. След приключването на работата или етап от нея, инициатива (доклад) от ръководителя на проектния колектив с предложение за изплащане на възнаграждения, въз основа на който се издава заповед на Ректора за изплащане на възнагражденията заедно със заплатата.</w:t>
            </w:r>
          </w:p>
        </w:tc>
        <w:tc>
          <w:tcPr>
            <w:tcW w:w="3150" w:type="dxa"/>
            <w:shd w:val="clear" w:color="auto" w:fill="auto"/>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Заповед за назначаване на екипа, заповед за изплащане на възнагражденията</w:t>
            </w:r>
          </w:p>
        </w:tc>
      </w:tr>
      <w:tr w:rsidR="00DC273F" w:rsidRPr="00216E9D" w:rsidTr="00F57C45">
        <w:trPr>
          <w:trHeight w:val="20"/>
        </w:trPr>
        <w:tc>
          <w:tcPr>
            <w:tcW w:w="4695" w:type="dxa"/>
            <w:shd w:val="clear" w:color="000000" w:fill="F2F2F2"/>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b/>
                <w:bCs/>
                <w:color w:val="000000"/>
                <w:lang w:val="bg-BG"/>
              </w:rPr>
              <w:t>разходи за възнаграждения на външни лица</w:t>
            </w:r>
            <w:r w:rsidRPr="00216E9D">
              <w:rPr>
                <w:rFonts w:ascii="Times New Roman" w:hAnsi="Times New Roman" w:cs="Times New Roman"/>
                <w:color w:val="000000"/>
                <w:lang w:val="bg-BG"/>
              </w:rPr>
              <w:t xml:space="preserve"> </w:t>
            </w:r>
            <w:r w:rsidRPr="00216E9D">
              <w:rPr>
                <w:rFonts w:ascii="Times New Roman" w:hAnsi="Times New Roman" w:cs="Times New Roman"/>
                <w:b/>
                <w:bCs/>
                <w:color w:val="000000"/>
                <w:lang w:val="bg-BG"/>
              </w:rPr>
              <w:t>(точка 2 от бюджета)</w:t>
            </w:r>
            <w:r w:rsidRPr="00216E9D">
              <w:rPr>
                <w:rFonts w:ascii="Times New Roman" w:hAnsi="Times New Roman" w:cs="Times New Roman"/>
                <w:color w:val="000000"/>
                <w:lang w:val="bg-BG"/>
              </w:rPr>
              <w:t>- извън участниците в изпълнението на проекта - ако лицата са щатни, възнагражденията се изплащат със заповед към заплатата на основание чл. 31 от ВПРЗ, ако са извънщатни - с договори</w:t>
            </w:r>
          </w:p>
        </w:tc>
        <w:tc>
          <w:tcPr>
            <w:tcW w:w="6570" w:type="dxa"/>
            <w:shd w:val="clear" w:color="000000" w:fill="F2F2F2"/>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инициатива (доклад) от ръководителя на проектния колектив до Ректора, договор с предложения изпълнител. Изплащането на сумата на изпълнителя става от Паричния салон в брой или по банковата сметка на изпълнителя по конкретния договор / заповед, без да е необходимо сумата да се тегли в брой от ръководителя на проекта или упълномощено от него лице.</w:t>
            </w:r>
          </w:p>
        </w:tc>
        <w:tc>
          <w:tcPr>
            <w:tcW w:w="3150" w:type="dxa"/>
            <w:shd w:val="clear" w:color="000000" w:fill="F2F2F2"/>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договори, хонорарни сметки за изплатените суми, отчети по тези договори и протоколи за приемане на възложената работа;</w:t>
            </w:r>
          </w:p>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при плащане със заповед към заплатата – заповедта за определянето на и</w:t>
            </w:r>
            <w:r w:rsidR="000A7DAF" w:rsidRPr="00216E9D">
              <w:rPr>
                <w:rFonts w:ascii="Times New Roman" w:hAnsi="Times New Roman" w:cs="Times New Roman"/>
                <w:color w:val="000000"/>
                <w:lang w:val="bg-BG"/>
              </w:rPr>
              <w:t>з</w:t>
            </w:r>
            <w:r w:rsidRPr="00216E9D">
              <w:rPr>
                <w:rFonts w:ascii="Times New Roman" w:hAnsi="Times New Roman" w:cs="Times New Roman"/>
                <w:color w:val="000000"/>
                <w:lang w:val="bg-BG"/>
              </w:rPr>
              <w:t>пълнителя и заповедта за изплащане на възнаграждението</w:t>
            </w:r>
          </w:p>
        </w:tc>
      </w:tr>
      <w:tr w:rsidR="00DC273F" w:rsidRPr="00216E9D" w:rsidTr="00F57C45">
        <w:trPr>
          <w:trHeight w:val="20"/>
        </w:trPr>
        <w:tc>
          <w:tcPr>
            <w:tcW w:w="4695" w:type="dxa"/>
            <w:shd w:val="clear" w:color="000000" w:fill="F2F2F2"/>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b/>
                <w:bCs/>
                <w:color w:val="000000"/>
                <w:lang w:val="bg-BG"/>
              </w:rPr>
              <w:t>Разходи за командировки в страната и чужбина (точка 4 от бюджета)</w:t>
            </w:r>
            <w:r w:rsidRPr="00216E9D">
              <w:rPr>
                <w:rFonts w:ascii="Times New Roman" w:hAnsi="Times New Roman" w:cs="Times New Roman"/>
                <w:color w:val="000000"/>
                <w:lang w:val="bg-BG"/>
              </w:rPr>
              <w:t xml:space="preserve"> /пътни, дневни и квартирни/ - стойностите се определят съгласно Наредбата за командировките в страната и заповедите на Ректора </w:t>
            </w:r>
          </w:p>
        </w:tc>
        <w:tc>
          <w:tcPr>
            <w:tcW w:w="6570" w:type="dxa"/>
            <w:shd w:val="clear" w:color="000000" w:fill="F2F2F2"/>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Теглене на служебни аванси за командировки в страната и чужбина става след представяне на заповеди за командировка, издадени по установения в Университета ред. Размерите на дневните и квартирните са съгласно действащите горни граници в съответните наредби и заповедите на Ректора. Разходи за самолетни билети – само по договорите по ЗОП</w:t>
            </w:r>
          </w:p>
        </w:tc>
        <w:tc>
          <w:tcPr>
            <w:tcW w:w="3150" w:type="dxa"/>
            <w:shd w:val="clear" w:color="000000" w:fill="F2F2F2"/>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Командировъчни заповеди, фактури</w:t>
            </w:r>
            <w:r w:rsidR="000A7DAF" w:rsidRPr="00216E9D">
              <w:rPr>
                <w:rFonts w:ascii="Times New Roman" w:hAnsi="Times New Roman" w:cs="Times New Roman"/>
                <w:color w:val="000000"/>
                <w:lang w:val="bg-BG"/>
              </w:rPr>
              <w:t>*</w:t>
            </w:r>
            <w:r w:rsidRPr="00216E9D">
              <w:rPr>
                <w:rFonts w:ascii="Times New Roman" w:hAnsi="Times New Roman" w:cs="Times New Roman"/>
                <w:color w:val="000000"/>
                <w:lang w:val="bg-BG"/>
              </w:rPr>
              <w:t xml:space="preserve"> за нощувки, фактури</w:t>
            </w:r>
            <w:r w:rsidR="000A7DAF" w:rsidRPr="00216E9D">
              <w:rPr>
                <w:rFonts w:ascii="Times New Roman" w:hAnsi="Times New Roman" w:cs="Times New Roman"/>
                <w:color w:val="000000"/>
                <w:lang w:val="bg-BG"/>
              </w:rPr>
              <w:t>*</w:t>
            </w:r>
            <w:r w:rsidRPr="00216E9D">
              <w:rPr>
                <w:rFonts w:ascii="Times New Roman" w:hAnsi="Times New Roman" w:cs="Times New Roman"/>
                <w:color w:val="000000"/>
                <w:lang w:val="bg-BG"/>
              </w:rPr>
              <w:t xml:space="preserve"> за гориво, билети, бордни карти; медицински застраховки, визи и други</w:t>
            </w:r>
          </w:p>
        </w:tc>
      </w:tr>
      <w:tr w:rsidR="00DC273F" w:rsidRPr="00216E9D" w:rsidTr="00F57C45">
        <w:trPr>
          <w:trHeight w:val="20"/>
        </w:trPr>
        <w:tc>
          <w:tcPr>
            <w:tcW w:w="4695" w:type="dxa"/>
            <w:shd w:val="clear" w:color="auto" w:fill="auto"/>
            <w:vAlign w:val="center"/>
            <w:hideMark/>
          </w:tcPr>
          <w:p w:rsidR="00DC273F" w:rsidRPr="00216E9D" w:rsidRDefault="00DC273F" w:rsidP="00D75CB2">
            <w:pPr>
              <w:contextualSpacing/>
              <w:jc w:val="both"/>
              <w:rPr>
                <w:rFonts w:ascii="Times New Roman" w:hAnsi="Times New Roman" w:cs="Times New Roman"/>
                <w:b/>
                <w:bCs/>
                <w:color w:val="000000"/>
                <w:lang w:val="bg-BG"/>
              </w:rPr>
            </w:pPr>
            <w:r w:rsidRPr="00216E9D">
              <w:rPr>
                <w:rFonts w:ascii="Times New Roman" w:hAnsi="Times New Roman" w:cs="Times New Roman"/>
                <w:b/>
                <w:bCs/>
                <w:color w:val="000000"/>
                <w:lang w:val="bg-BG"/>
              </w:rPr>
              <w:t>Материали, консумативи и други (точка 5 от бюджета)</w:t>
            </w:r>
          </w:p>
          <w:p w:rsidR="00DC273F" w:rsidRPr="00216E9D" w:rsidRDefault="00DC273F" w:rsidP="00DC273F">
            <w:pPr>
              <w:numPr>
                <w:ilvl w:val="0"/>
                <w:numId w:val="1"/>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канцеларски материали</w:t>
            </w:r>
          </w:p>
          <w:p w:rsidR="00DC273F" w:rsidRPr="00216E9D" w:rsidRDefault="00DC273F" w:rsidP="00DC273F">
            <w:pPr>
              <w:numPr>
                <w:ilvl w:val="0"/>
                <w:numId w:val="1"/>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учебни материали и помагала (в т.ч. химикали, стъклария, консумативи)</w:t>
            </w:r>
          </w:p>
          <w:p w:rsidR="00DC273F" w:rsidRPr="00216E9D" w:rsidRDefault="00DC273F" w:rsidP="00DC273F">
            <w:pPr>
              <w:numPr>
                <w:ilvl w:val="0"/>
                <w:numId w:val="1"/>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информационни продукти и материали, книги</w:t>
            </w:r>
          </w:p>
          <w:p w:rsidR="00DC273F" w:rsidRPr="00216E9D" w:rsidRDefault="00DC273F" w:rsidP="00DC273F">
            <w:pPr>
              <w:numPr>
                <w:ilvl w:val="0"/>
                <w:numId w:val="1"/>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консумативи и резервни части за хардуер</w:t>
            </w:r>
          </w:p>
          <w:p w:rsidR="00DC273F" w:rsidRPr="00216E9D" w:rsidRDefault="00DC273F" w:rsidP="00DC273F">
            <w:pPr>
              <w:numPr>
                <w:ilvl w:val="0"/>
                <w:numId w:val="1"/>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други резервни части</w:t>
            </w:r>
          </w:p>
          <w:p w:rsidR="00DC273F" w:rsidRPr="00216E9D" w:rsidRDefault="00DC273F" w:rsidP="00DC273F">
            <w:pPr>
              <w:numPr>
                <w:ilvl w:val="0"/>
                <w:numId w:val="1"/>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горива, вода и енергия; смазочни материали</w:t>
            </w:r>
          </w:p>
          <w:p w:rsidR="00DC273F" w:rsidRPr="00216E9D" w:rsidRDefault="00DC273F" w:rsidP="00DC273F">
            <w:pPr>
              <w:numPr>
                <w:ilvl w:val="0"/>
                <w:numId w:val="1"/>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медикаменти, храни и лекарства</w:t>
            </w:r>
          </w:p>
          <w:p w:rsidR="00DC273F" w:rsidRPr="00216E9D" w:rsidRDefault="00DC273F" w:rsidP="00DC273F">
            <w:pPr>
              <w:numPr>
                <w:ilvl w:val="0"/>
                <w:numId w:val="1"/>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lastRenderedPageBreak/>
              <w:t>строителни и други материали</w:t>
            </w:r>
          </w:p>
        </w:tc>
        <w:tc>
          <w:tcPr>
            <w:tcW w:w="6570" w:type="dxa"/>
            <w:shd w:val="clear" w:color="auto" w:fill="auto"/>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lastRenderedPageBreak/>
              <w:t>Закупуването (доставката) на материали става от доставчиците, с които Университетът има сключени договори по ЗОП. Плащането може да се извършва съгласно клаузите на съответните договори по ЗОП (достъпни на сайта на СУ), след одобрен от ректора доклад с конкретно описание на доставените и приети материали</w:t>
            </w:r>
          </w:p>
        </w:tc>
        <w:tc>
          <w:tcPr>
            <w:tcW w:w="3150" w:type="dxa"/>
            <w:shd w:val="clear" w:color="auto" w:fill="auto"/>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договори и фактури</w:t>
            </w:r>
            <w:r w:rsidR="000A7DAF" w:rsidRPr="00216E9D">
              <w:rPr>
                <w:rFonts w:ascii="Times New Roman" w:hAnsi="Times New Roman" w:cs="Times New Roman"/>
                <w:color w:val="000000"/>
                <w:lang w:val="bg-BG"/>
              </w:rPr>
              <w:t>*</w:t>
            </w:r>
            <w:r w:rsidRPr="00216E9D">
              <w:rPr>
                <w:rFonts w:ascii="Times New Roman" w:hAnsi="Times New Roman" w:cs="Times New Roman"/>
                <w:color w:val="000000"/>
                <w:lang w:val="bg-BG"/>
              </w:rPr>
              <w:t xml:space="preserve"> за доставка; приемо -предавателни протоколи</w:t>
            </w:r>
          </w:p>
        </w:tc>
      </w:tr>
      <w:tr w:rsidR="00DC273F" w:rsidRPr="00216E9D" w:rsidTr="00F57C45">
        <w:trPr>
          <w:trHeight w:val="20"/>
        </w:trPr>
        <w:tc>
          <w:tcPr>
            <w:tcW w:w="4695" w:type="dxa"/>
            <w:shd w:val="clear" w:color="000000" w:fill="F2F2F2"/>
            <w:vAlign w:val="center"/>
            <w:hideMark/>
          </w:tcPr>
          <w:p w:rsidR="00DC273F" w:rsidRPr="00216E9D" w:rsidRDefault="00DC273F" w:rsidP="00D75CB2">
            <w:pPr>
              <w:contextualSpacing/>
              <w:jc w:val="both"/>
              <w:rPr>
                <w:rFonts w:ascii="Times New Roman" w:hAnsi="Times New Roman" w:cs="Times New Roman"/>
                <w:b/>
                <w:bCs/>
                <w:color w:val="000000"/>
                <w:lang w:val="bg-BG"/>
              </w:rPr>
            </w:pPr>
            <w:r w:rsidRPr="00216E9D">
              <w:rPr>
                <w:rFonts w:ascii="Times New Roman" w:hAnsi="Times New Roman" w:cs="Times New Roman"/>
                <w:b/>
                <w:bCs/>
                <w:color w:val="000000"/>
                <w:lang w:val="bg-BG"/>
              </w:rPr>
              <w:t>Външни услуги (точка 6 от бюджета)</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копирни услуги</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телекомуникационни и пощенски услуги</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поддръжка и ремонт на хардуер / софтуер</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консултантски услуги</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абонаменти, достъп, право на ползване</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наеми и застраховки</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транспортни услуги</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конференции/семинари</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експертизи, проучвания и изследвания</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данъци, мита и такси (без осигурителни вноски)</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дейности, свързани с осигуряване на публичност</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b/>
                <w:bCs/>
                <w:color w:val="000000"/>
                <w:lang w:val="bg-BG"/>
              </w:rPr>
            </w:pPr>
            <w:r w:rsidRPr="00216E9D">
              <w:rPr>
                <w:rFonts w:ascii="Times New Roman" w:hAnsi="Times New Roman" w:cs="Times New Roman"/>
                <w:color w:val="000000"/>
                <w:lang w:val="bg-BG"/>
              </w:rPr>
              <w:t>Други разходи за външни услуги</w:t>
            </w:r>
          </w:p>
        </w:tc>
        <w:tc>
          <w:tcPr>
            <w:tcW w:w="6570" w:type="dxa"/>
            <w:shd w:val="clear" w:color="000000" w:fill="F2F2F2"/>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Разходите за външни услуги се извършват от доставчиците, с които Университетът има сключени договори по ЗОП. Плащането може да се извършва съгласно клаузите на съответните договори, след одобрен от ректора доклад с конкретно описание на услугите</w:t>
            </w:r>
          </w:p>
        </w:tc>
        <w:tc>
          <w:tcPr>
            <w:tcW w:w="3150" w:type="dxa"/>
            <w:shd w:val="clear" w:color="000000" w:fill="F2F2F2"/>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договори и/или фактури</w:t>
            </w:r>
            <w:r w:rsidR="000A7DAF" w:rsidRPr="00216E9D">
              <w:rPr>
                <w:rFonts w:ascii="Times New Roman" w:hAnsi="Times New Roman" w:cs="Times New Roman"/>
                <w:color w:val="000000"/>
                <w:lang w:val="bg-BG"/>
              </w:rPr>
              <w:t>*</w:t>
            </w:r>
            <w:r w:rsidRPr="00216E9D">
              <w:rPr>
                <w:rFonts w:ascii="Times New Roman" w:hAnsi="Times New Roman" w:cs="Times New Roman"/>
                <w:color w:val="000000"/>
                <w:lang w:val="bg-BG"/>
              </w:rPr>
              <w:t xml:space="preserve"> за услуга</w:t>
            </w:r>
          </w:p>
        </w:tc>
      </w:tr>
      <w:tr w:rsidR="00DC273F" w:rsidRPr="00216E9D" w:rsidTr="00F57C45">
        <w:trPr>
          <w:trHeight w:val="20"/>
        </w:trPr>
        <w:tc>
          <w:tcPr>
            <w:tcW w:w="4695" w:type="dxa"/>
            <w:shd w:val="clear" w:color="auto" w:fill="auto"/>
            <w:vAlign w:val="center"/>
            <w:hideMark/>
          </w:tcPr>
          <w:p w:rsidR="00DC273F" w:rsidRPr="00216E9D" w:rsidRDefault="00DC273F" w:rsidP="00D75CB2">
            <w:pPr>
              <w:contextualSpacing/>
              <w:jc w:val="both"/>
              <w:rPr>
                <w:rFonts w:ascii="Times New Roman" w:hAnsi="Times New Roman" w:cs="Times New Roman"/>
                <w:b/>
                <w:bCs/>
                <w:color w:val="000000"/>
                <w:lang w:val="bg-BG"/>
              </w:rPr>
            </w:pPr>
            <w:r w:rsidRPr="00216E9D">
              <w:rPr>
                <w:rFonts w:ascii="Times New Roman" w:hAnsi="Times New Roman" w:cs="Times New Roman"/>
                <w:b/>
                <w:bCs/>
                <w:color w:val="000000"/>
                <w:lang w:val="bg-BG"/>
              </w:rPr>
              <w:t>Разходи за публикуване на резултатите от изследванията и печатни разходи (точка 7 от бюджета)</w:t>
            </w:r>
          </w:p>
        </w:tc>
        <w:tc>
          <w:tcPr>
            <w:tcW w:w="6570" w:type="dxa"/>
            <w:shd w:val="clear" w:color="auto" w:fill="auto"/>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въз основа на одобрен от Ректора доклад, калкулация и фактура от УИП. При невъзможност поръчката да бъде изпълнена от УИП (официален мотивиран отказ), разходът се извършва на основание представена от ръководителя на колектива заявка, по ред определен в нея</w:t>
            </w:r>
          </w:p>
        </w:tc>
        <w:tc>
          <w:tcPr>
            <w:tcW w:w="3150" w:type="dxa"/>
            <w:shd w:val="clear" w:color="auto" w:fill="auto"/>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договор, калкулация, фактура и приемо - предавателен протокол за извършена работа</w:t>
            </w:r>
          </w:p>
        </w:tc>
      </w:tr>
      <w:tr w:rsidR="00DC273F" w:rsidRPr="00216E9D" w:rsidTr="00F57C45">
        <w:trPr>
          <w:trHeight w:val="20"/>
        </w:trPr>
        <w:tc>
          <w:tcPr>
            <w:tcW w:w="4695" w:type="dxa"/>
            <w:shd w:val="clear" w:color="auto" w:fill="auto"/>
            <w:vAlign w:val="center"/>
            <w:hideMark/>
          </w:tcPr>
          <w:p w:rsidR="00DC273F" w:rsidRPr="00216E9D" w:rsidRDefault="00DC273F" w:rsidP="00D75CB2">
            <w:pPr>
              <w:contextualSpacing/>
              <w:jc w:val="both"/>
              <w:rPr>
                <w:rFonts w:ascii="Times New Roman" w:hAnsi="Times New Roman" w:cs="Times New Roman"/>
                <w:b/>
                <w:bCs/>
                <w:color w:val="000000"/>
                <w:lang w:val="bg-BG"/>
              </w:rPr>
            </w:pPr>
            <w:r w:rsidRPr="00216E9D">
              <w:rPr>
                <w:rFonts w:ascii="Times New Roman" w:hAnsi="Times New Roman" w:cs="Times New Roman"/>
                <w:b/>
                <w:bCs/>
                <w:color w:val="000000"/>
                <w:lang w:val="bg-BG"/>
              </w:rPr>
              <w:t>Ремонт на апаратура (точка 8 от бюджета)</w:t>
            </w:r>
          </w:p>
        </w:tc>
        <w:tc>
          <w:tcPr>
            <w:tcW w:w="6570" w:type="dxa"/>
            <w:shd w:val="clear" w:color="auto" w:fill="auto"/>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заявка от ръководителя на колектива, по ред, определен в заявката, в зависимост от спецификата</w:t>
            </w:r>
          </w:p>
        </w:tc>
        <w:tc>
          <w:tcPr>
            <w:tcW w:w="3150" w:type="dxa"/>
            <w:shd w:val="clear" w:color="auto" w:fill="auto"/>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договор, фактура</w:t>
            </w:r>
            <w:r w:rsidR="000A7DAF" w:rsidRPr="00216E9D">
              <w:rPr>
                <w:rFonts w:ascii="Times New Roman" w:hAnsi="Times New Roman" w:cs="Times New Roman"/>
                <w:color w:val="000000"/>
                <w:lang w:val="bg-BG"/>
              </w:rPr>
              <w:t>*</w:t>
            </w:r>
            <w:r w:rsidRPr="00216E9D">
              <w:rPr>
                <w:rFonts w:ascii="Times New Roman" w:hAnsi="Times New Roman" w:cs="Times New Roman"/>
                <w:color w:val="000000"/>
                <w:lang w:val="bg-BG"/>
              </w:rPr>
              <w:t xml:space="preserve"> и приемо - предавателния протокол за услугата</w:t>
            </w:r>
          </w:p>
        </w:tc>
      </w:tr>
      <w:tr w:rsidR="00DC273F" w:rsidRPr="00216E9D" w:rsidTr="00F57C45">
        <w:trPr>
          <w:trHeight w:val="20"/>
        </w:trPr>
        <w:tc>
          <w:tcPr>
            <w:tcW w:w="4695" w:type="dxa"/>
            <w:shd w:val="clear" w:color="auto" w:fill="auto"/>
            <w:vAlign w:val="center"/>
            <w:hideMark/>
          </w:tcPr>
          <w:p w:rsidR="00DC273F" w:rsidRPr="00216E9D" w:rsidRDefault="00DC273F" w:rsidP="00D75CB2">
            <w:pPr>
              <w:contextualSpacing/>
              <w:jc w:val="both"/>
              <w:rPr>
                <w:rFonts w:ascii="Times New Roman" w:hAnsi="Times New Roman" w:cs="Times New Roman"/>
                <w:b/>
                <w:bCs/>
                <w:color w:val="000000"/>
                <w:lang w:val="bg-BG"/>
              </w:rPr>
            </w:pPr>
            <w:r w:rsidRPr="00216E9D">
              <w:rPr>
                <w:rFonts w:ascii="Times New Roman" w:hAnsi="Times New Roman" w:cs="Times New Roman"/>
                <w:b/>
                <w:bCs/>
                <w:color w:val="000000"/>
                <w:lang w:val="bg-BG"/>
              </w:rPr>
              <w:t>Придобиване на дълготрайни материални и нематериални активи - ДМА и НДМА (точки 9 и 10 от бюджета)</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компютърно оборудване, периферни устройства, резервни части и офис техника</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лабораторна техника, измервателни уреди, резервни части и консумативи</w:t>
            </w:r>
          </w:p>
          <w:p w:rsidR="00DC273F" w:rsidRPr="00216E9D" w:rsidRDefault="00DC273F" w:rsidP="00DC273F">
            <w:pPr>
              <w:numPr>
                <w:ilvl w:val="0"/>
                <w:numId w:val="2"/>
              </w:numPr>
              <w:spacing w:after="0" w:line="240" w:lineRule="auto"/>
              <w:ind w:left="0" w:firstLine="0"/>
              <w:contextualSpacing/>
              <w:jc w:val="both"/>
              <w:rPr>
                <w:rFonts w:ascii="Times New Roman" w:hAnsi="Times New Roman" w:cs="Times New Roman"/>
                <w:b/>
                <w:bCs/>
                <w:color w:val="000000"/>
                <w:lang w:val="bg-BG"/>
              </w:rPr>
            </w:pPr>
            <w:r w:rsidRPr="00216E9D">
              <w:rPr>
                <w:rFonts w:ascii="Times New Roman" w:hAnsi="Times New Roman" w:cs="Times New Roman"/>
                <w:color w:val="000000"/>
                <w:lang w:val="bg-BG"/>
              </w:rPr>
              <w:t>специализиран софтуер</w:t>
            </w:r>
          </w:p>
        </w:tc>
        <w:tc>
          <w:tcPr>
            <w:tcW w:w="6570" w:type="dxa"/>
            <w:shd w:val="clear" w:color="auto" w:fill="auto"/>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Доставките се извършват по реда на ЗОП, на основание на представена заявка от ръководителя на колектива.</w:t>
            </w:r>
          </w:p>
        </w:tc>
        <w:tc>
          <w:tcPr>
            <w:tcW w:w="3150" w:type="dxa"/>
            <w:shd w:val="clear" w:color="auto" w:fill="auto"/>
            <w:vAlign w:val="center"/>
            <w:hideMark/>
          </w:tcPr>
          <w:p w:rsidR="00DC273F" w:rsidRPr="00216E9D" w:rsidRDefault="00DC273F" w:rsidP="00D75CB2">
            <w:pPr>
              <w:contextualSpacing/>
              <w:jc w:val="both"/>
              <w:rPr>
                <w:rFonts w:ascii="Times New Roman" w:hAnsi="Times New Roman" w:cs="Times New Roman"/>
                <w:color w:val="000000"/>
                <w:lang w:val="bg-BG"/>
              </w:rPr>
            </w:pPr>
            <w:r w:rsidRPr="00216E9D">
              <w:rPr>
                <w:rFonts w:ascii="Times New Roman" w:hAnsi="Times New Roman" w:cs="Times New Roman"/>
                <w:color w:val="000000"/>
                <w:lang w:val="bg-BG"/>
              </w:rPr>
              <w:t>договор, фактура</w:t>
            </w:r>
            <w:r w:rsidR="000A7DAF" w:rsidRPr="00216E9D">
              <w:rPr>
                <w:rFonts w:ascii="Times New Roman" w:hAnsi="Times New Roman" w:cs="Times New Roman"/>
                <w:color w:val="000000"/>
                <w:lang w:val="bg-BG"/>
              </w:rPr>
              <w:t>*</w:t>
            </w:r>
            <w:r w:rsidRPr="00216E9D">
              <w:rPr>
                <w:rFonts w:ascii="Times New Roman" w:hAnsi="Times New Roman" w:cs="Times New Roman"/>
                <w:color w:val="000000"/>
                <w:lang w:val="bg-BG"/>
              </w:rPr>
              <w:t xml:space="preserve"> и приемо - предавателния протокол за доставка;</w:t>
            </w:r>
          </w:p>
        </w:tc>
      </w:tr>
    </w:tbl>
    <w:p w:rsidR="00DC273F" w:rsidRPr="00D6579F" w:rsidRDefault="000A7DAF" w:rsidP="00602B11">
      <w:pPr>
        <w:ind w:left="-540"/>
        <w:contextualSpacing/>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w:t>
      </w:r>
      <w:r w:rsidR="00DC273F" w:rsidRPr="00D6579F">
        <w:rPr>
          <w:rFonts w:ascii="Times New Roman" w:hAnsi="Times New Roman" w:cs="Times New Roman"/>
          <w:sz w:val="24"/>
          <w:szCs w:val="24"/>
          <w:lang w:val="bg-BG"/>
        </w:rPr>
        <w:t>Фактурите по договорите трябва да са издадени на името на СУ „Св. Кл. Охридски”, ЕИК: BG 000 670 680, адрес: гр. София, бул. Цар Освободител № 15. За МОЛ се вписва името на Ректора, за получател се вписва името на ръководителя на научния колектив, койт</w:t>
      </w:r>
      <w:r w:rsidRPr="00D6579F">
        <w:rPr>
          <w:rFonts w:ascii="Times New Roman" w:hAnsi="Times New Roman" w:cs="Times New Roman"/>
          <w:sz w:val="24"/>
          <w:szCs w:val="24"/>
          <w:lang w:val="bg-BG"/>
        </w:rPr>
        <w:t>о следва да разписва фактурите.</w:t>
      </w:r>
    </w:p>
    <w:p w:rsidR="008E379A" w:rsidRPr="00D6579F" w:rsidRDefault="008E379A" w:rsidP="00DC273F">
      <w:pPr>
        <w:contextualSpacing/>
        <w:jc w:val="both"/>
        <w:rPr>
          <w:rFonts w:ascii="Times New Roman" w:hAnsi="Times New Roman" w:cs="Times New Roman"/>
          <w:sz w:val="24"/>
          <w:szCs w:val="24"/>
          <w:lang w:val="bg-BG"/>
        </w:rPr>
      </w:pPr>
    </w:p>
    <w:p w:rsidR="00341C30" w:rsidRPr="00D6579F" w:rsidRDefault="008E379A" w:rsidP="00602B11">
      <w:pPr>
        <w:ind w:left="-45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lastRenderedPageBreak/>
        <w:t xml:space="preserve">Извършването на всички видове разходи по проекта </w:t>
      </w:r>
      <w:r w:rsidR="000F65B1" w:rsidRPr="00D6579F">
        <w:rPr>
          <w:rFonts w:ascii="Times New Roman" w:hAnsi="Times New Roman" w:cs="Times New Roman"/>
          <w:sz w:val="24"/>
          <w:szCs w:val="24"/>
          <w:lang w:val="bg-BG"/>
        </w:rPr>
        <w:t>се заявява с доклад по образец.</w:t>
      </w:r>
      <w:r w:rsidR="000A7DAF" w:rsidRPr="00D6579F">
        <w:rPr>
          <w:rFonts w:ascii="Times New Roman" w:hAnsi="Times New Roman" w:cs="Times New Roman"/>
          <w:sz w:val="24"/>
          <w:szCs w:val="24"/>
          <w:lang w:val="bg-BG"/>
        </w:rPr>
        <w:t xml:space="preserve"> Докладът се попълва от името на и се подписва от ръководителя на проекта. В доклада задължително се посочва номерът на договора за изпълнение на проекта. Докладите се депозират в най-малко </w:t>
      </w:r>
      <w:r w:rsidR="000A4A10" w:rsidRPr="00D6579F">
        <w:rPr>
          <w:rFonts w:ascii="Times New Roman" w:hAnsi="Times New Roman" w:cs="Times New Roman"/>
          <w:sz w:val="24"/>
          <w:szCs w:val="24"/>
          <w:lang w:val="bg-BG"/>
        </w:rPr>
        <w:t xml:space="preserve">3 </w:t>
      </w:r>
      <w:r w:rsidR="000A7DAF" w:rsidRPr="00D6579F">
        <w:rPr>
          <w:rFonts w:ascii="Times New Roman" w:hAnsi="Times New Roman" w:cs="Times New Roman"/>
          <w:sz w:val="24"/>
          <w:szCs w:val="24"/>
          <w:lang w:val="bg-BG"/>
        </w:rPr>
        <w:t>екземпляра в деловодството на СУ</w:t>
      </w:r>
      <w:r w:rsidR="00602B11">
        <w:rPr>
          <w:rFonts w:ascii="Times New Roman" w:hAnsi="Times New Roman" w:cs="Times New Roman"/>
          <w:sz w:val="24"/>
          <w:szCs w:val="24"/>
          <w:lang w:val="bg-BG"/>
        </w:rPr>
        <w:t xml:space="preserve"> или се изпращат за електронно входиране на адрес:</w:t>
      </w:r>
      <w:r w:rsidR="00D26A2C">
        <w:rPr>
          <w:rFonts w:ascii="Times New Roman" w:hAnsi="Times New Roman" w:cs="Times New Roman"/>
          <w:sz w:val="24"/>
          <w:szCs w:val="24"/>
          <w:lang w:val="bg-BG"/>
        </w:rPr>
        <w:t xml:space="preserve"> </w:t>
      </w:r>
      <w:r w:rsidR="00D26A2C">
        <w:rPr>
          <w:rFonts w:ascii="Times New Roman" w:hAnsi="Times New Roman" w:cs="Times New Roman"/>
          <w:sz w:val="24"/>
          <w:szCs w:val="24"/>
        </w:rPr>
        <w:t>delovodstvo@uni-sofia.bg</w:t>
      </w:r>
      <w:r w:rsidR="000A7DAF" w:rsidRPr="00D6579F">
        <w:rPr>
          <w:rFonts w:ascii="Times New Roman" w:hAnsi="Times New Roman" w:cs="Times New Roman"/>
          <w:sz w:val="24"/>
          <w:szCs w:val="24"/>
          <w:lang w:val="bg-BG"/>
        </w:rPr>
        <w:t>.</w:t>
      </w:r>
      <w:r w:rsidR="00341C30" w:rsidRPr="00D6579F">
        <w:rPr>
          <w:rFonts w:ascii="Times New Roman" w:hAnsi="Times New Roman" w:cs="Times New Roman"/>
          <w:sz w:val="24"/>
          <w:szCs w:val="24"/>
          <w:lang w:val="bg-BG"/>
        </w:rPr>
        <w:t xml:space="preserve"> </w:t>
      </w:r>
      <w:r w:rsidR="00D26A2C">
        <w:rPr>
          <w:rFonts w:ascii="Times New Roman" w:hAnsi="Times New Roman" w:cs="Times New Roman"/>
          <w:sz w:val="24"/>
          <w:szCs w:val="24"/>
          <w:lang w:val="bg-BG"/>
        </w:rPr>
        <w:t>Финансовото обслужване</w:t>
      </w:r>
      <w:r w:rsidR="00341C30" w:rsidRPr="00D6579F">
        <w:rPr>
          <w:rFonts w:ascii="Times New Roman" w:hAnsi="Times New Roman" w:cs="Times New Roman"/>
          <w:sz w:val="24"/>
          <w:szCs w:val="24"/>
          <w:lang w:val="bg-BG"/>
        </w:rPr>
        <w:t xml:space="preserve"> се извършва от счетоводител по проекта, определен при сключването на договора от главния счетоводител на СУ.</w:t>
      </w:r>
    </w:p>
    <w:p w:rsidR="00CD2FE7" w:rsidRDefault="008E379A" w:rsidP="00602B11">
      <w:pPr>
        <w:spacing w:after="0"/>
        <w:ind w:left="-450"/>
        <w:jc w:val="both"/>
        <w:rPr>
          <w:rStyle w:val="Hyperlink"/>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Общоприложитемите образци са налични на страницата на СУ и се достъпват с име и парола за СУСИ: </w:t>
      </w:r>
      <w:hyperlink r:id="rId11" w:history="1">
        <w:r w:rsidRPr="00D6579F">
          <w:rPr>
            <w:rStyle w:val="Hyperlink"/>
            <w:rFonts w:ascii="Times New Roman" w:hAnsi="Times New Roman" w:cs="Times New Roman"/>
            <w:sz w:val="24"/>
            <w:szCs w:val="24"/>
            <w:lang w:val="bg-BG"/>
          </w:rPr>
          <w:t>https://www.uni-sofia.bg/index.php/bul/universitet_t/administrativna_struktura/dokumenti_na_su/obrazci_na_dokumenti</w:t>
        </w:r>
      </w:hyperlink>
    </w:p>
    <w:p w:rsidR="00602B11" w:rsidRPr="00D6579F" w:rsidRDefault="00602B11" w:rsidP="00602B11">
      <w:pPr>
        <w:spacing w:after="0"/>
        <w:ind w:left="-450"/>
        <w:jc w:val="both"/>
        <w:rPr>
          <w:rFonts w:ascii="Times New Roman" w:hAnsi="Times New Roman" w:cs="Times New Roman"/>
          <w:sz w:val="24"/>
          <w:szCs w:val="24"/>
          <w:lang w:val="bg-BG"/>
        </w:rPr>
      </w:pPr>
    </w:p>
    <w:tbl>
      <w:tblPr>
        <w:tblStyle w:val="TableGrid"/>
        <w:tblW w:w="14580" w:type="dxa"/>
        <w:tblInd w:w="-905" w:type="dxa"/>
        <w:tblLayout w:type="fixed"/>
        <w:tblLook w:val="04A0" w:firstRow="1" w:lastRow="0" w:firstColumn="1" w:lastColumn="0" w:noHBand="0" w:noVBand="1"/>
      </w:tblPr>
      <w:tblGrid>
        <w:gridCol w:w="3150"/>
        <w:gridCol w:w="2610"/>
        <w:gridCol w:w="5130"/>
        <w:gridCol w:w="3690"/>
      </w:tblGrid>
      <w:tr w:rsidR="00F57C45" w:rsidRPr="00D26A2C" w:rsidTr="00F57C45">
        <w:tc>
          <w:tcPr>
            <w:tcW w:w="3150" w:type="dxa"/>
          </w:tcPr>
          <w:p w:rsidR="00BE05C8" w:rsidRPr="00D26A2C" w:rsidRDefault="00BE05C8" w:rsidP="00AB3D1D">
            <w:pPr>
              <w:jc w:val="center"/>
              <w:rPr>
                <w:rFonts w:ascii="Times New Roman" w:hAnsi="Times New Roman" w:cs="Times New Roman"/>
                <w:b/>
                <w:lang w:val="bg-BG"/>
              </w:rPr>
            </w:pPr>
            <w:r w:rsidRPr="00D26A2C">
              <w:rPr>
                <w:rFonts w:ascii="Times New Roman" w:hAnsi="Times New Roman" w:cs="Times New Roman"/>
                <w:b/>
                <w:lang w:val="bg-BG"/>
              </w:rPr>
              <w:t>Разход</w:t>
            </w:r>
          </w:p>
        </w:tc>
        <w:tc>
          <w:tcPr>
            <w:tcW w:w="2610" w:type="dxa"/>
          </w:tcPr>
          <w:p w:rsidR="00BE05C8" w:rsidRPr="00D26A2C" w:rsidRDefault="00BE05C8" w:rsidP="00AB3D1D">
            <w:pPr>
              <w:jc w:val="center"/>
              <w:rPr>
                <w:rFonts w:ascii="Times New Roman" w:hAnsi="Times New Roman" w:cs="Times New Roman"/>
                <w:b/>
                <w:lang w:val="bg-BG"/>
              </w:rPr>
            </w:pPr>
            <w:r w:rsidRPr="00D26A2C">
              <w:rPr>
                <w:rFonts w:ascii="Times New Roman" w:hAnsi="Times New Roman" w:cs="Times New Roman"/>
                <w:b/>
                <w:lang w:val="bg-BG"/>
              </w:rPr>
              <w:t>Срок за подаване на доклад</w:t>
            </w:r>
          </w:p>
        </w:tc>
        <w:tc>
          <w:tcPr>
            <w:tcW w:w="5130" w:type="dxa"/>
          </w:tcPr>
          <w:p w:rsidR="00BE05C8" w:rsidRPr="00D26A2C" w:rsidRDefault="00BE05C8" w:rsidP="00AB3D1D">
            <w:pPr>
              <w:jc w:val="center"/>
              <w:rPr>
                <w:rFonts w:ascii="Times New Roman" w:hAnsi="Times New Roman" w:cs="Times New Roman"/>
                <w:b/>
                <w:lang w:val="bg-BG"/>
              </w:rPr>
            </w:pPr>
            <w:r w:rsidRPr="00D26A2C">
              <w:rPr>
                <w:rFonts w:ascii="Times New Roman" w:hAnsi="Times New Roman" w:cs="Times New Roman"/>
                <w:b/>
                <w:lang w:val="bg-BG"/>
              </w:rPr>
              <w:t>Образец</w:t>
            </w:r>
          </w:p>
        </w:tc>
        <w:tc>
          <w:tcPr>
            <w:tcW w:w="3690" w:type="dxa"/>
          </w:tcPr>
          <w:p w:rsidR="00BE05C8" w:rsidRPr="00D26A2C" w:rsidRDefault="00BE05C8" w:rsidP="00AB3D1D">
            <w:pPr>
              <w:jc w:val="center"/>
              <w:rPr>
                <w:rFonts w:ascii="Times New Roman" w:hAnsi="Times New Roman" w:cs="Times New Roman"/>
                <w:b/>
                <w:lang w:val="bg-BG"/>
              </w:rPr>
            </w:pPr>
            <w:r w:rsidRPr="00D26A2C">
              <w:rPr>
                <w:rFonts w:ascii="Times New Roman" w:hAnsi="Times New Roman" w:cs="Times New Roman"/>
                <w:b/>
                <w:lang w:val="bg-BG"/>
              </w:rPr>
              <w:t>Други приложими документи</w:t>
            </w:r>
          </w:p>
        </w:tc>
      </w:tr>
      <w:tr w:rsidR="00A04B2A" w:rsidRPr="00D26A2C" w:rsidTr="00F57C45">
        <w:tc>
          <w:tcPr>
            <w:tcW w:w="3150" w:type="dxa"/>
            <w:vMerge w:val="restart"/>
          </w:tcPr>
          <w:p w:rsidR="00A04B2A" w:rsidRPr="00D26A2C" w:rsidRDefault="00A04B2A" w:rsidP="00A04B2A">
            <w:pPr>
              <w:rPr>
                <w:rFonts w:ascii="Times New Roman" w:hAnsi="Times New Roman" w:cs="Times New Roman"/>
                <w:b/>
                <w:lang w:val="bg-BG"/>
              </w:rPr>
            </w:pPr>
          </w:p>
          <w:p w:rsidR="00A04B2A" w:rsidRPr="00D26A2C" w:rsidRDefault="00A04B2A" w:rsidP="00A04B2A">
            <w:pPr>
              <w:rPr>
                <w:rFonts w:ascii="Times New Roman" w:hAnsi="Times New Roman" w:cs="Times New Roman"/>
                <w:b/>
                <w:lang w:val="bg-BG"/>
              </w:rPr>
            </w:pPr>
          </w:p>
          <w:p w:rsidR="00A04B2A" w:rsidRPr="00D26A2C" w:rsidRDefault="00A04B2A" w:rsidP="00A04B2A">
            <w:pPr>
              <w:rPr>
                <w:rFonts w:ascii="Times New Roman" w:hAnsi="Times New Roman" w:cs="Times New Roman"/>
                <w:lang w:val="bg-BG"/>
              </w:rPr>
            </w:pPr>
            <w:r w:rsidRPr="00D26A2C">
              <w:rPr>
                <w:rFonts w:ascii="Times New Roman" w:hAnsi="Times New Roman" w:cs="Times New Roman"/>
                <w:b/>
                <w:lang w:val="bg-BG"/>
              </w:rPr>
              <w:t>Възнаграждения на щатни служители</w:t>
            </w:r>
            <w:r w:rsidRPr="00D26A2C">
              <w:rPr>
                <w:rFonts w:ascii="Times New Roman" w:hAnsi="Times New Roman" w:cs="Times New Roman"/>
                <w:lang w:val="bg-BG"/>
              </w:rPr>
              <w:t xml:space="preserve"> </w:t>
            </w:r>
          </w:p>
          <w:p w:rsidR="00A04B2A" w:rsidRPr="00D26A2C" w:rsidRDefault="00A04B2A" w:rsidP="00E658A3">
            <w:pPr>
              <w:rPr>
                <w:rFonts w:ascii="Times New Roman" w:hAnsi="Times New Roman" w:cs="Times New Roman"/>
                <w:lang w:val="bg-BG"/>
              </w:rPr>
            </w:pPr>
          </w:p>
        </w:tc>
        <w:tc>
          <w:tcPr>
            <w:tcW w:w="2610" w:type="dxa"/>
          </w:tcPr>
          <w:p w:rsidR="00A04B2A" w:rsidRPr="00D26A2C" w:rsidRDefault="00A04B2A">
            <w:pPr>
              <w:rPr>
                <w:rFonts w:ascii="Times New Roman" w:hAnsi="Times New Roman" w:cs="Times New Roman"/>
                <w:lang w:val="bg-BG"/>
              </w:rPr>
            </w:pPr>
            <w:r w:rsidRPr="00D26A2C">
              <w:rPr>
                <w:rFonts w:ascii="Times New Roman" w:hAnsi="Times New Roman" w:cs="Times New Roman"/>
                <w:lang w:val="bg-BG"/>
              </w:rPr>
              <w:t>Доклад за възлагане на дейности до 1 месец след датата на извеждане на договора</w:t>
            </w:r>
          </w:p>
          <w:p w:rsidR="00A04B2A" w:rsidRPr="00D26A2C" w:rsidRDefault="00A04B2A">
            <w:pPr>
              <w:rPr>
                <w:rFonts w:ascii="Times New Roman" w:hAnsi="Times New Roman" w:cs="Times New Roman"/>
                <w:lang w:val="bg-BG"/>
              </w:rPr>
            </w:pPr>
          </w:p>
        </w:tc>
        <w:tc>
          <w:tcPr>
            <w:tcW w:w="5130" w:type="dxa"/>
          </w:tcPr>
          <w:p w:rsidR="00A04B2A" w:rsidRPr="00D26A2C" w:rsidRDefault="00A04B2A">
            <w:pPr>
              <w:rPr>
                <w:rFonts w:ascii="Times New Roman" w:hAnsi="Times New Roman" w:cs="Times New Roman"/>
                <w:lang w:val="bg-BG"/>
              </w:rPr>
            </w:pPr>
            <w:r w:rsidRPr="00D26A2C">
              <w:rPr>
                <w:rFonts w:ascii="Times New Roman" w:hAnsi="Times New Roman" w:cs="Times New Roman"/>
                <w:lang w:val="bg-BG"/>
              </w:rPr>
              <w:t xml:space="preserve">Образец 5.3 A </w:t>
            </w:r>
          </w:p>
          <w:p w:rsidR="00A04B2A" w:rsidRPr="00D26A2C" w:rsidRDefault="00A04B2A">
            <w:pPr>
              <w:rPr>
                <w:rFonts w:ascii="Times New Roman" w:hAnsi="Times New Roman" w:cs="Times New Roman"/>
                <w:lang w:val="bg-BG"/>
              </w:rPr>
            </w:pPr>
            <w:r w:rsidRPr="00D26A2C">
              <w:rPr>
                <w:rFonts w:ascii="Times New Roman" w:hAnsi="Times New Roman" w:cs="Times New Roman"/>
                <w:lang w:val="bg-BG"/>
              </w:rPr>
              <w:t>Доклад и заповед за възлагане на дейности по проект на основание чл. 31 ал. 5 ВПРЗ</w:t>
            </w:r>
          </w:p>
        </w:tc>
        <w:tc>
          <w:tcPr>
            <w:tcW w:w="3690" w:type="dxa"/>
          </w:tcPr>
          <w:p w:rsidR="00A04B2A" w:rsidRPr="00D26A2C" w:rsidRDefault="00A04B2A">
            <w:pPr>
              <w:rPr>
                <w:rFonts w:ascii="Times New Roman" w:hAnsi="Times New Roman" w:cs="Times New Roman"/>
                <w:lang w:val="bg-BG"/>
              </w:rPr>
            </w:pPr>
          </w:p>
        </w:tc>
      </w:tr>
      <w:tr w:rsidR="00A04B2A" w:rsidRPr="00D26A2C" w:rsidTr="00F57C45">
        <w:tc>
          <w:tcPr>
            <w:tcW w:w="3150" w:type="dxa"/>
            <w:vMerge/>
          </w:tcPr>
          <w:p w:rsidR="00A04B2A" w:rsidRPr="00D26A2C" w:rsidRDefault="00A04B2A" w:rsidP="00E658A3">
            <w:pPr>
              <w:rPr>
                <w:rFonts w:ascii="Times New Roman" w:hAnsi="Times New Roman" w:cs="Times New Roman"/>
                <w:lang w:val="bg-BG"/>
              </w:rPr>
            </w:pPr>
          </w:p>
        </w:tc>
        <w:tc>
          <w:tcPr>
            <w:tcW w:w="2610" w:type="dxa"/>
          </w:tcPr>
          <w:p w:rsidR="00A04B2A" w:rsidRPr="00D26A2C" w:rsidRDefault="00A04B2A" w:rsidP="00A04B2A">
            <w:pPr>
              <w:rPr>
                <w:rFonts w:ascii="Times New Roman" w:hAnsi="Times New Roman" w:cs="Times New Roman"/>
                <w:lang w:val="bg-BG"/>
              </w:rPr>
            </w:pPr>
            <w:r w:rsidRPr="00D26A2C">
              <w:rPr>
                <w:rFonts w:ascii="Times New Roman" w:hAnsi="Times New Roman" w:cs="Times New Roman"/>
                <w:lang w:val="bg-BG"/>
              </w:rPr>
              <w:t>Доклад за изплащане на възнаграждение - до 1</w:t>
            </w:r>
            <w:r w:rsidR="000A4A10" w:rsidRPr="00D26A2C">
              <w:rPr>
                <w:rFonts w:ascii="Times New Roman" w:hAnsi="Times New Roman" w:cs="Times New Roman"/>
                <w:lang w:val="bg-BG"/>
              </w:rPr>
              <w:t>0</w:t>
            </w:r>
            <w:r w:rsidRPr="00D26A2C">
              <w:rPr>
                <w:rFonts w:ascii="Times New Roman" w:hAnsi="Times New Roman" w:cs="Times New Roman"/>
                <w:lang w:val="bg-BG"/>
              </w:rPr>
              <w:t xml:space="preserve"> ноември </w:t>
            </w:r>
          </w:p>
        </w:tc>
        <w:tc>
          <w:tcPr>
            <w:tcW w:w="5130" w:type="dxa"/>
          </w:tcPr>
          <w:p w:rsidR="00A04B2A" w:rsidRPr="00D26A2C" w:rsidRDefault="00A04B2A">
            <w:pPr>
              <w:rPr>
                <w:rFonts w:ascii="Times New Roman" w:hAnsi="Times New Roman" w:cs="Times New Roman"/>
                <w:lang w:val="bg-BG"/>
              </w:rPr>
            </w:pPr>
            <w:r w:rsidRPr="00D26A2C">
              <w:rPr>
                <w:rFonts w:ascii="Times New Roman" w:hAnsi="Times New Roman" w:cs="Times New Roman"/>
                <w:lang w:val="bg-BG"/>
              </w:rPr>
              <w:t xml:space="preserve">Образец 5.3 B </w:t>
            </w:r>
            <w:r w:rsidRPr="00D26A2C">
              <w:rPr>
                <w:rFonts w:ascii="Times New Roman" w:hAnsi="Times New Roman" w:cs="Times New Roman"/>
                <w:lang w:val="bg-BG"/>
              </w:rPr>
              <w:tab/>
            </w:r>
          </w:p>
          <w:p w:rsidR="00A04B2A" w:rsidRPr="00D26A2C" w:rsidRDefault="00A04B2A">
            <w:pPr>
              <w:rPr>
                <w:rFonts w:ascii="Times New Roman" w:hAnsi="Times New Roman" w:cs="Times New Roman"/>
                <w:lang w:val="bg-BG"/>
              </w:rPr>
            </w:pPr>
            <w:r w:rsidRPr="00D26A2C">
              <w:rPr>
                <w:rFonts w:ascii="Times New Roman" w:hAnsi="Times New Roman" w:cs="Times New Roman"/>
                <w:lang w:val="bg-BG"/>
              </w:rPr>
              <w:t>Доклад и заповед за изплащане на възнаграждения по проект на основание чл. 31 ал. 5 ВПРЗ</w:t>
            </w:r>
          </w:p>
        </w:tc>
        <w:tc>
          <w:tcPr>
            <w:tcW w:w="3690" w:type="dxa"/>
          </w:tcPr>
          <w:p w:rsidR="00A04B2A" w:rsidRPr="00D26A2C" w:rsidRDefault="00A04B2A">
            <w:pPr>
              <w:rPr>
                <w:rFonts w:ascii="Times New Roman" w:hAnsi="Times New Roman" w:cs="Times New Roman"/>
                <w:lang w:val="bg-BG"/>
              </w:rPr>
            </w:pPr>
          </w:p>
        </w:tc>
      </w:tr>
      <w:tr w:rsidR="00A04B2A" w:rsidRPr="00D26A2C" w:rsidTr="00F57C45">
        <w:tc>
          <w:tcPr>
            <w:tcW w:w="3150" w:type="dxa"/>
            <w:vMerge w:val="restart"/>
          </w:tcPr>
          <w:p w:rsidR="00A04B2A" w:rsidRPr="00D26A2C" w:rsidRDefault="00A04B2A" w:rsidP="00A04B2A">
            <w:pPr>
              <w:rPr>
                <w:rFonts w:ascii="Times New Roman" w:hAnsi="Times New Roman" w:cs="Times New Roman"/>
                <w:b/>
                <w:lang w:val="bg-BG"/>
              </w:rPr>
            </w:pPr>
          </w:p>
          <w:p w:rsidR="00A04B2A" w:rsidRPr="00D26A2C" w:rsidRDefault="00A04B2A" w:rsidP="00A04B2A">
            <w:pPr>
              <w:rPr>
                <w:rFonts w:ascii="Times New Roman" w:hAnsi="Times New Roman" w:cs="Times New Roman"/>
                <w:b/>
                <w:lang w:val="bg-BG"/>
              </w:rPr>
            </w:pPr>
          </w:p>
          <w:p w:rsidR="00A04B2A" w:rsidRPr="00D26A2C" w:rsidRDefault="00A04B2A" w:rsidP="00A04B2A">
            <w:pPr>
              <w:rPr>
                <w:rFonts w:ascii="Times New Roman" w:hAnsi="Times New Roman" w:cs="Times New Roman"/>
                <w:b/>
                <w:lang w:val="bg-BG"/>
              </w:rPr>
            </w:pPr>
          </w:p>
          <w:p w:rsidR="00A04B2A" w:rsidRPr="00D26A2C" w:rsidRDefault="00A04B2A" w:rsidP="00A04B2A">
            <w:pPr>
              <w:rPr>
                <w:rFonts w:ascii="Times New Roman" w:hAnsi="Times New Roman" w:cs="Times New Roman"/>
                <w:b/>
                <w:lang w:val="bg-BG"/>
              </w:rPr>
            </w:pPr>
          </w:p>
          <w:p w:rsidR="00A04B2A" w:rsidRPr="00D26A2C" w:rsidRDefault="00A04B2A" w:rsidP="00A04B2A">
            <w:pPr>
              <w:rPr>
                <w:rFonts w:ascii="Times New Roman" w:hAnsi="Times New Roman" w:cs="Times New Roman"/>
                <w:b/>
                <w:lang w:val="bg-BG"/>
              </w:rPr>
            </w:pPr>
          </w:p>
          <w:p w:rsidR="00A04B2A" w:rsidRPr="00D26A2C" w:rsidRDefault="00A04B2A" w:rsidP="00A04B2A">
            <w:pPr>
              <w:rPr>
                <w:rFonts w:ascii="Times New Roman" w:hAnsi="Times New Roman" w:cs="Times New Roman"/>
                <w:b/>
                <w:lang w:val="bg-BG"/>
              </w:rPr>
            </w:pPr>
          </w:p>
          <w:p w:rsidR="00A04B2A" w:rsidRPr="00D26A2C" w:rsidRDefault="00A04B2A" w:rsidP="00A04B2A">
            <w:pPr>
              <w:rPr>
                <w:rFonts w:ascii="Times New Roman" w:hAnsi="Times New Roman" w:cs="Times New Roman"/>
                <w:lang w:val="bg-BG"/>
              </w:rPr>
            </w:pPr>
            <w:r w:rsidRPr="00D26A2C">
              <w:rPr>
                <w:rFonts w:ascii="Times New Roman" w:hAnsi="Times New Roman" w:cs="Times New Roman"/>
                <w:b/>
                <w:lang w:val="bg-BG"/>
              </w:rPr>
              <w:t>Възнаграждения на извънщатни лица</w:t>
            </w:r>
            <w:r w:rsidRPr="00D26A2C">
              <w:rPr>
                <w:rFonts w:ascii="Times New Roman" w:hAnsi="Times New Roman" w:cs="Times New Roman"/>
                <w:lang w:val="bg-BG"/>
              </w:rPr>
              <w:t xml:space="preserve"> </w:t>
            </w:r>
          </w:p>
          <w:p w:rsidR="00A04B2A" w:rsidRPr="00D26A2C" w:rsidRDefault="00A04B2A" w:rsidP="00E658A3">
            <w:pPr>
              <w:rPr>
                <w:rFonts w:ascii="Times New Roman" w:hAnsi="Times New Roman" w:cs="Times New Roman"/>
                <w:lang w:val="bg-BG"/>
              </w:rPr>
            </w:pPr>
          </w:p>
        </w:tc>
        <w:tc>
          <w:tcPr>
            <w:tcW w:w="2610" w:type="dxa"/>
          </w:tcPr>
          <w:p w:rsidR="00A04B2A" w:rsidRPr="00D26A2C" w:rsidRDefault="00A04B2A" w:rsidP="00E658A3">
            <w:pPr>
              <w:rPr>
                <w:rFonts w:ascii="Times New Roman" w:hAnsi="Times New Roman" w:cs="Times New Roman"/>
                <w:lang w:val="bg-BG"/>
              </w:rPr>
            </w:pPr>
            <w:r w:rsidRPr="00D26A2C">
              <w:rPr>
                <w:rFonts w:ascii="Times New Roman" w:hAnsi="Times New Roman" w:cs="Times New Roman"/>
                <w:lang w:val="bg-BG"/>
              </w:rPr>
              <w:t>Доклад за граждански договори - до 1 месец след датата на извеждане на договора</w:t>
            </w:r>
          </w:p>
          <w:p w:rsidR="00A04B2A" w:rsidRPr="00D26A2C" w:rsidRDefault="00A04B2A">
            <w:pPr>
              <w:rPr>
                <w:rFonts w:ascii="Times New Roman" w:hAnsi="Times New Roman" w:cs="Times New Roman"/>
                <w:lang w:val="bg-BG"/>
              </w:rPr>
            </w:pPr>
          </w:p>
        </w:tc>
        <w:tc>
          <w:tcPr>
            <w:tcW w:w="5130" w:type="dxa"/>
          </w:tcPr>
          <w:p w:rsidR="00A04B2A" w:rsidRPr="00D26A2C" w:rsidRDefault="00A04B2A">
            <w:pPr>
              <w:rPr>
                <w:rFonts w:ascii="Times New Roman" w:hAnsi="Times New Roman" w:cs="Times New Roman"/>
                <w:lang w:val="bg-BG"/>
              </w:rPr>
            </w:pPr>
            <w:r w:rsidRPr="00D26A2C">
              <w:rPr>
                <w:rFonts w:ascii="Times New Roman" w:hAnsi="Times New Roman" w:cs="Times New Roman"/>
                <w:lang w:val="bg-BG"/>
              </w:rPr>
              <w:t xml:space="preserve">Образец 5.3 C </w:t>
            </w:r>
            <w:r w:rsidRPr="00D26A2C">
              <w:rPr>
                <w:rFonts w:ascii="Times New Roman" w:hAnsi="Times New Roman" w:cs="Times New Roman"/>
                <w:lang w:val="bg-BG"/>
              </w:rPr>
              <w:tab/>
            </w:r>
          </w:p>
          <w:p w:rsidR="00A04B2A" w:rsidRPr="00D26A2C" w:rsidRDefault="00A04B2A">
            <w:pPr>
              <w:rPr>
                <w:rFonts w:ascii="Times New Roman" w:hAnsi="Times New Roman" w:cs="Times New Roman"/>
                <w:lang w:val="bg-BG"/>
              </w:rPr>
            </w:pPr>
            <w:r w:rsidRPr="00D26A2C">
              <w:rPr>
                <w:rFonts w:ascii="Times New Roman" w:hAnsi="Times New Roman" w:cs="Times New Roman"/>
                <w:lang w:val="bg-BG"/>
              </w:rPr>
              <w:t>Доклад за сключване на договори с външни консултанти и технически сътрудници за изпълнение на задачи по научноизследователски проекти</w:t>
            </w:r>
          </w:p>
          <w:p w:rsidR="00A04B2A" w:rsidRPr="00D26A2C" w:rsidRDefault="00A04B2A" w:rsidP="00E658A3">
            <w:pPr>
              <w:rPr>
                <w:rFonts w:ascii="Times New Roman" w:hAnsi="Times New Roman" w:cs="Times New Roman"/>
                <w:lang w:val="bg-BG"/>
              </w:rPr>
            </w:pPr>
            <w:r w:rsidRPr="00D26A2C">
              <w:rPr>
                <w:rFonts w:ascii="Times New Roman" w:hAnsi="Times New Roman" w:cs="Times New Roman"/>
                <w:lang w:val="bg-BG"/>
              </w:rPr>
              <w:t xml:space="preserve">Образец 5.3 Cа </w:t>
            </w:r>
            <w:r w:rsidRPr="00D26A2C">
              <w:rPr>
                <w:rFonts w:ascii="Times New Roman" w:hAnsi="Times New Roman" w:cs="Times New Roman"/>
                <w:lang w:val="bg-BG"/>
              </w:rPr>
              <w:tab/>
            </w:r>
          </w:p>
          <w:p w:rsidR="00A04B2A" w:rsidRPr="00D26A2C" w:rsidRDefault="00A04B2A" w:rsidP="00E658A3">
            <w:pPr>
              <w:rPr>
                <w:rFonts w:ascii="Times New Roman" w:hAnsi="Times New Roman" w:cs="Times New Roman"/>
                <w:lang w:val="bg-BG"/>
              </w:rPr>
            </w:pPr>
            <w:r w:rsidRPr="00D26A2C">
              <w:rPr>
                <w:rFonts w:ascii="Times New Roman" w:hAnsi="Times New Roman" w:cs="Times New Roman"/>
                <w:lang w:val="bg-BG"/>
              </w:rPr>
              <w:t>Доклад за сключване на договори с външни членове на научния колектив</w:t>
            </w:r>
          </w:p>
          <w:p w:rsidR="00A04B2A" w:rsidRPr="00D26A2C" w:rsidRDefault="00A04B2A" w:rsidP="00E658A3">
            <w:pPr>
              <w:rPr>
                <w:rFonts w:ascii="Times New Roman" w:hAnsi="Times New Roman" w:cs="Times New Roman"/>
                <w:lang w:val="bg-BG"/>
              </w:rPr>
            </w:pPr>
            <w:r w:rsidRPr="00D26A2C">
              <w:rPr>
                <w:rFonts w:ascii="Times New Roman" w:hAnsi="Times New Roman" w:cs="Times New Roman"/>
                <w:lang w:val="bg-BG"/>
              </w:rPr>
              <w:t>за изпълнение на задачи по научноизследователски проекти</w:t>
            </w:r>
          </w:p>
        </w:tc>
        <w:tc>
          <w:tcPr>
            <w:tcW w:w="3690" w:type="dxa"/>
          </w:tcPr>
          <w:p w:rsidR="00A04B2A" w:rsidRPr="00D26A2C" w:rsidRDefault="00A04B2A">
            <w:pPr>
              <w:rPr>
                <w:rFonts w:ascii="Times New Roman" w:hAnsi="Times New Roman" w:cs="Times New Roman"/>
                <w:lang w:val="bg-BG"/>
              </w:rPr>
            </w:pPr>
          </w:p>
        </w:tc>
      </w:tr>
      <w:tr w:rsidR="00A04B2A" w:rsidRPr="00D26A2C" w:rsidTr="00F57C45">
        <w:tc>
          <w:tcPr>
            <w:tcW w:w="3150" w:type="dxa"/>
            <w:vMerge/>
          </w:tcPr>
          <w:p w:rsidR="00A04B2A" w:rsidRPr="00D26A2C" w:rsidRDefault="00A04B2A" w:rsidP="00E658A3">
            <w:pPr>
              <w:rPr>
                <w:rFonts w:ascii="Times New Roman" w:hAnsi="Times New Roman" w:cs="Times New Roman"/>
                <w:lang w:val="bg-BG"/>
              </w:rPr>
            </w:pPr>
          </w:p>
        </w:tc>
        <w:tc>
          <w:tcPr>
            <w:tcW w:w="2610" w:type="dxa"/>
          </w:tcPr>
          <w:p w:rsidR="00A04B2A" w:rsidRPr="00D26A2C" w:rsidRDefault="00A04B2A">
            <w:pPr>
              <w:rPr>
                <w:rFonts w:ascii="Times New Roman" w:hAnsi="Times New Roman" w:cs="Times New Roman"/>
                <w:lang w:val="bg-BG"/>
              </w:rPr>
            </w:pPr>
            <w:r w:rsidRPr="00D26A2C">
              <w:rPr>
                <w:rFonts w:ascii="Times New Roman" w:hAnsi="Times New Roman" w:cs="Times New Roman"/>
                <w:lang w:val="bg-BG"/>
              </w:rPr>
              <w:t>Доклад за изплащане на хонорарите - до 1</w:t>
            </w:r>
            <w:r w:rsidR="000A4A10" w:rsidRPr="00D26A2C">
              <w:rPr>
                <w:rFonts w:ascii="Times New Roman" w:hAnsi="Times New Roman" w:cs="Times New Roman"/>
                <w:lang w:val="bg-BG"/>
              </w:rPr>
              <w:t>0</w:t>
            </w:r>
            <w:r w:rsidRPr="00D26A2C">
              <w:rPr>
                <w:rFonts w:ascii="Times New Roman" w:hAnsi="Times New Roman" w:cs="Times New Roman"/>
                <w:lang w:val="bg-BG"/>
              </w:rPr>
              <w:t xml:space="preserve"> ноември</w:t>
            </w:r>
          </w:p>
        </w:tc>
        <w:tc>
          <w:tcPr>
            <w:tcW w:w="5130" w:type="dxa"/>
          </w:tcPr>
          <w:p w:rsidR="00A04B2A" w:rsidRPr="00D26A2C" w:rsidRDefault="00A04B2A" w:rsidP="00E658A3">
            <w:pPr>
              <w:rPr>
                <w:rFonts w:ascii="Times New Roman" w:hAnsi="Times New Roman" w:cs="Times New Roman"/>
                <w:lang w:val="bg-BG"/>
              </w:rPr>
            </w:pPr>
            <w:r w:rsidRPr="00D26A2C">
              <w:rPr>
                <w:rFonts w:ascii="Times New Roman" w:hAnsi="Times New Roman" w:cs="Times New Roman"/>
                <w:lang w:val="bg-BG"/>
              </w:rPr>
              <w:t xml:space="preserve">Образец 5.3 D </w:t>
            </w:r>
            <w:r w:rsidRPr="00D26A2C">
              <w:rPr>
                <w:rFonts w:ascii="Times New Roman" w:hAnsi="Times New Roman" w:cs="Times New Roman"/>
                <w:lang w:val="bg-BG"/>
              </w:rPr>
              <w:tab/>
            </w:r>
          </w:p>
          <w:p w:rsidR="00A04B2A" w:rsidRPr="00D26A2C" w:rsidRDefault="00A04B2A" w:rsidP="00E658A3">
            <w:pPr>
              <w:rPr>
                <w:rFonts w:ascii="Times New Roman" w:hAnsi="Times New Roman" w:cs="Times New Roman"/>
                <w:lang w:val="bg-BG"/>
              </w:rPr>
            </w:pPr>
            <w:r w:rsidRPr="00D26A2C">
              <w:rPr>
                <w:rFonts w:ascii="Times New Roman" w:hAnsi="Times New Roman" w:cs="Times New Roman"/>
                <w:lang w:val="bg-BG"/>
              </w:rPr>
              <w:t>Доклад за изплащане на възнаграждения на външни членове на научни колективи и на външни технически сътрудници,</w:t>
            </w:r>
          </w:p>
          <w:p w:rsidR="00A04B2A" w:rsidRPr="00D26A2C" w:rsidRDefault="00A04B2A" w:rsidP="00E658A3">
            <w:pPr>
              <w:rPr>
                <w:rFonts w:ascii="Times New Roman" w:hAnsi="Times New Roman" w:cs="Times New Roman"/>
                <w:lang w:val="bg-BG"/>
              </w:rPr>
            </w:pPr>
            <w:r w:rsidRPr="00D26A2C">
              <w:rPr>
                <w:rFonts w:ascii="Times New Roman" w:hAnsi="Times New Roman" w:cs="Times New Roman"/>
                <w:lang w:val="bg-BG"/>
              </w:rPr>
              <w:t>заедно с приемо-предавателен протокол</w:t>
            </w:r>
          </w:p>
        </w:tc>
        <w:tc>
          <w:tcPr>
            <w:tcW w:w="3690" w:type="dxa"/>
          </w:tcPr>
          <w:p w:rsidR="00A04B2A" w:rsidRPr="00D26A2C" w:rsidRDefault="00A04B2A" w:rsidP="00E658A3">
            <w:pPr>
              <w:rPr>
                <w:rFonts w:ascii="Times New Roman" w:hAnsi="Times New Roman" w:cs="Times New Roman"/>
                <w:lang w:val="bg-BG"/>
              </w:rPr>
            </w:pPr>
          </w:p>
        </w:tc>
      </w:tr>
      <w:tr w:rsidR="00F57C45" w:rsidRPr="00D26A2C" w:rsidTr="00F57C45">
        <w:tc>
          <w:tcPr>
            <w:tcW w:w="3150" w:type="dxa"/>
          </w:tcPr>
          <w:p w:rsidR="00BE05C8" w:rsidRPr="00D26A2C" w:rsidRDefault="00BE05C8">
            <w:pPr>
              <w:rPr>
                <w:rFonts w:ascii="Times New Roman" w:hAnsi="Times New Roman" w:cs="Times New Roman"/>
                <w:b/>
                <w:lang w:val="bg-BG"/>
              </w:rPr>
            </w:pPr>
            <w:r w:rsidRPr="00D26A2C">
              <w:rPr>
                <w:rFonts w:ascii="Times New Roman" w:hAnsi="Times New Roman" w:cs="Times New Roman"/>
                <w:b/>
                <w:lang w:val="bg-BG"/>
              </w:rPr>
              <w:t>Командировки в страната на щатни служители</w:t>
            </w:r>
          </w:p>
        </w:tc>
        <w:tc>
          <w:tcPr>
            <w:tcW w:w="2610" w:type="dxa"/>
          </w:tcPr>
          <w:p w:rsidR="00BE05C8" w:rsidRPr="00D26A2C" w:rsidRDefault="00BE05C8" w:rsidP="00AE7E71">
            <w:pPr>
              <w:rPr>
                <w:rFonts w:ascii="Times New Roman" w:hAnsi="Times New Roman" w:cs="Times New Roman"/>
                <w:lang w:val="bg-BG"/>
              </w:rPr>
            </w:pPr>
            <w:r w:rsidRPr="00D26A2C">
              <w:rPr>
                <w:rFonts w:ascii="Times New Roman" w:hAnsi="Times New Roman" w:cs="Times New Roman"/>
                <w:lang w:val="bg-BG"/>
              </w:rPr>
              <w:t>най-малко 10 календарни  дни преди датата на отпътуване</w:t>
            </w:r>
          </w:p>
        </w:tc>
        <w:tc>
          <w:tcPr>
            <w:tcW w:w="5130" w:type="dxa"/>
          </w:tcPr>
          <w:p w:rsidR="00BE05C8" w:rsidRPr="00D26A2C" w:rsidRDefault="00BE05C8" w:rsidP="00AE7E71">
            <w:pPr>
              <w:rPr>
                <w:rFonts w:ascii="Times New Roman" w:hAnsi="Times New Roman" w:cs="Times New Roman"/>
                <w:lang w:val="bg-BG"/>
              </w:rPr>
            </w:pPr>
            <w:r w:rsidRPr="00D26A2C">
              <w:rPr>
                <w:rFonts w:ascii="Times New Roman" w:hAnsi="Times New Roman" w:cs="Times New Roman"/>
                <w:lang w:val="bg-BG"/>
              </w:rPr>
              <w:t xml:space="preserve">Образец 1.1 </w:t>
            </w:r>
          </w:p>
          <w:p w:rsidR="00BE05C8" w:rsidRPr="00D26A2C" w:rsidRDefault="00BE05C8" w:rsidP="00AE7E71">
            <w:pPr>
              <w:rPr>
                <w:rFonts w:ascii="Times New Roman" w:hAnsi="Times New Roman" w:cs="Times New Roman"/>
                <w:lang w:val="bg-BG"/>
              </w:rPr>
            </w:pPr>
            <w:r w:rsidRPr="00D26A2C">
              <w:rPr>
                <w:rFonts w:ascii="Times New Roman" w:hAnsi="Times New Roman" w:cs="Times New Roman"/>
                <w:lang w:val="bg-BG"/>
              </w:rPr>
              <w:t>Доклад и заповед за командировка в страната</w:t>
            </w:r>
          </w:p>
          <w:p w:rsidR="00BE05C8" w:rsidRPr="00D26A2C" w:rsidRDefault="00BE05C8" w:rsidP="00AE7E71">
            <w:pPr>
              <w:rPr>
                <w:rFonts w:ascii="Times New Roman" w:hAnsi="Times New Roman" w:cs="Times New Roman"/>
                <w:lang w:val="bg-BG"/>
              </w:rPr>
            </w:pPr>
            <w:r w:rsidRPr="00D26A2C">
              <w:rPr>
                <w:rFonts w:ascii="Times New Roman" w:hAnsi="Times New Roman" w:cs="Times New Roman"/>
                <w:lang w:val="bg-BG"/>
              </w:rPr>
              <w:t>на преподаватели и служители от СУ</w:t>
            </w:r>
          </w:p>
        </w:tc>
        <w:tc>
          <w:tcPr>
            <w:tcW w:w="3690" w:type="dxa"/>
            <w:vMerge w:val="restart"/>
          </w:tcPr>
          <w:p w:rsidR="00BE05C8" w:rsidRPr="00D26A2C" w:rsidRDefault="00BE05C8" w:rsidP="00AE7E71">
            <w:pPr>
              <w:rPr>
                <w:rFonts w:ascii="Times New Roman" w:hAnsi="Times New Roman" w:cs="Times New Roman"/>
                <w:lang w:val="bg-BG"/>
              </w:rPr>
            </w:pPr>
            <w:r w:rsidRPr="00D26A2C">
              <w:rPr>
                <w:rFonts w:ascii="Times New Roman" w:hAnsi="Times New Roman" w:cs="Times New Roman"/>
                <w:lang w:val="bg-BG"/>
              </w:rPr>
              <w:t>Вътрешни правила за командировките в страната: https://www.uni-sofia.bg/index.php/bul/content/download/167678/1183356/version/1/file/%D0%BA%D0%BE%D0%BC%D0%B0</w:t>
            </w:r>
            <w:r w:rsidRPr="00D26A2C">
              <w:rPr>
                <w:rFonts w:ascii="Times New Roman" w:hAnsi="Times New Roman" w:cs="Times New Roman"/>
                <w:lang w:val="bg-BG"/>
              </w:rPr>
              <w:lastRenderedPageBreak/>
              <w:t>%D0%BD%D0%B4%D0%B8%D1%80%D0%BE%D0%B2%D0%BA%D0%B8.pdf</w:t>
            </w:r>
          </w:p>
        </w:tc>
      </w:tr>
      <w:tr w:rsidR="00F57C45" w:rsidRPr="00D26A2C" w:rsidTr="00F57C45">
        <w:tc>
          <w:tcPr>
            <w:tcW w:w="3150" w:type="dxa"/>
          </w:tcPr>
          <w:p w:rsidR="00BE05C8" w:rsidRPr="00D26A2C" w:rsidRDefault="00BE05C8" w:rsidP="00AE7E71">
            <w:pPr>
              <w:rPr>
                <w:rFonts w:ascii="Times New Roman" w:hAnsi="Times New Roman" w:cs="Times New Roman"/>
                <w:b/>
                <w:lang w:val="bg-BG"/>
              </w:rPr>
            </w:pPr>
            <w:r w:rsidRPr="00D26A2C">
              <w:rPr>
                <w:rFonts w:ascii="Times New Roman" w:hAnsi="Times New Roman" w:cs="Times New Roman"/>
                <w:b/>
                <w:lang w:val="bg-BG"/>
              </w:rPr>
              <w:t>Командировки в страната на извънщатни лица</w:t>
            </w:r>
          </w:p>
        </w:tc>
        <w:tc>
          <w:tcPr>
            <w:tcW w:w="2610" w:type="dxa"/>
          </w:tcPr>
          <w:p w:rsidR="00BE05C8" w:rsidRPr="00D26A2C" w:rsidRDefault="00BE05C8" w:rsidP="00AE7E71">
            <w:pPr>
              <w:rPr>
                <w:rFonts w:ascii="Times New Roman" w:hAnsi="Times New Roman" w:cs="Times New Roman"/>
                <w:lang w:val="bg-BG"/>
              </w:rPr>
            </w:pPr>
            <w:r w:rsidRPr="00D26A2C">
              <w:rPr>
                <w:rFonts w:ascii="Times New Roman" w:hAnsi="Times New Roman" w:cs="Times New Roman"/>
                <w:lang w:val="bg-BG"/>
              </w:rPr>
              <w:t>най-малко 10 календарни дни преди датата на отпътуване</w:t>
            </w:r>
          </w:p>
        </w:tc>
        <w:tc>
          <w:tcPr>
            <w:tcW w:w="5130" w:type="dxa"/>
          </w:tcPr>
          <w:p w:rsidR="00BE05C8" w:rsidRPr="00D26A2C" w:rsidRDefault="00BE05C8" w:rsidP="00AE7E71">
            <w:pPr>
              <w:rPr>
                <w:rFonts w:ascii="Times New Roman" w:hAnsi="Times New Roman" w:cs="Times New Roman"/>
                <w:lang w:val="bg-BG"/>
              </w:rPr>
            </w:pPr>
            <w:r w:rsidRPr="00D26A2C">
              <w:rPr>
                <w:rFonts w:ascii="Times New Roman" w:hAnsi="Times New Roman" w:cs="Times New Roman"/>
                <w:lang w:val="bg-BG"/>
              </w:rPr>
              <w:t xml:space="preserve">Образец 1.2 </w:t>
            </w:r>
            <w:r w:rsidRPr="00D26A2C">
              <w:rPr>
                <w:rFonts w:ascii="Times New Roman" w:hAnsi="Times New Roman" w:cs="Times New Roman"/>
                <w:lang w:val="bg-BG"/>
              </w:rPr>
              <w:tab/>
            </w:r>
          </w:p>
          <w:p w:rsidR="00BE05C8" w:rsidRPr="00D26A2C" w:rsidRDefault="00BE05C8" w:rsidP="00AE7E71">
            <w:pPr>
              <w:rPr>
                <w:rFonts w:ascii="Times New Roman" w:hAnsi="Times New Roman" w:cs="Times New Roman"/>
                <w:lang w:val="bg-BG"/>
              </w:rPr>
            </w:pPr>
            <w:r w:rsidRPr="00D26A2C">
              <w:rPr>
                <w:rFonts w:ascii="Times New Roman" w:hAnsi="Times New Roman" w:cs="Times New Roman"/>
                <w:lang w:val="bg-BG"/>
              </w:rPr>
              <w:t xml:space="preserve">Доклад и заповед за командировка в страната на ВЪНШНИ ЧЛЕНОВЕ на научни журита за </w:t>
            </w:r>
            <w:r w:rsidRPr="00D26A2C">
              <w:rPr>
                <w:rFonts w:ascii="Times New Roman" w:hAnsi="Times New Roman" w:cs="Times New Roman"/>
                <w:lang w:val="bg-BG"/>
              </w:rPr>
              <w:lastRenderedPageBreak/>
              <w:t>придобиване на научна степен или заемане на академична длъжност - БЪЛГАРИ</w:t>
            </w:r>
          </w:p>
        </w:tc>
        <w:tc>
          <w:tcPr>
            <w:tcW w:w="3690" w:type="dxa"/>
            <w:vMerge/>
          </w:tcPr>
          <w:p w:rsidR="00BE05C8" w:rsidRPr="00D26A2C" w:rsidRDefault="00BE05C8" w:rsidP="00AE7E71">
            <w:pPr>
              <w:rPr>
                <w:rFonts w:ascii="Times New Roman" w:hAnsi="Times New Roman" w:cs="Times New Roman"/>
                <w:lang w:val="bg-BG"/>
              </w:rPr>
            </w:pPr>
          </w:p>
        </w:tc>
      </w:tr>
      <w:tr w:rsidR="00F57C45" w:rsidRPr="00D26A2C" w:rsidTr="00F57C45">
        <w:tc>
          <w:tcPr>
            <w:tcW w:w="3150" w:type="dxa"/>
          </w:tcPr>
          <w:p w:rsidR="00BE05C8" w:rsidRPr="00D26A2C" w:rsidRDefault="00BE05C8" w:rsidP="008E379A">
            <w:pPr>
              <w:rPr>
                <w:rFonts w:ascii="Times New Roman" w:hAnsi="Times New Roman" w:cs="Times New Roman"/>
                <w:b/>
                <w:lang w:val="bg-BG"/>
              </w:rPr>
            </w:pPr>
            <w:r w:rsidRPr="00D26A2C">
              <w:rPr>
                <w:rFonts w:ascii="Times New Roman" w:hAnsi="Times New Roman" w:cs="Times New Roman"/>
                <w:b/>
                <w:lang w:val="bg-BG"/>
              </w:rPr>
              <w:t>Командировки в страната на студенти и докторанти</w:t>
            </w:r>
          </w:p>
        </w:tc>
        <w:tc>
          <w:tcPr>
            <w:tcW w:w="2610" w:type="dxa"/>
          </w:tcPr>
          <w:p w:rsidR="00BE05C8" w:rsidRPr="00D26A2C" w:rsidRDefault="00BE05C8" w:rsidP="008E379A">
            <w:pPr>
              <w:rPr>
                <w:rFonts w:ascii="Times New Roman" w:hAnsi="Times New Roman" w:cs="Times New Roman"/>
                <w:lang w:val="bg-BG"/>
              </w:rPr>
            </w:pPr>
            <w:r w:rsidRPr="00D26A2C">
              <w:rPr>
                <w:rFonts w:ascii="Times New Roman" w:hAnsi="Times New Roman" w:cs="Times New Roman"/>
                <w:lang w:val="bg-BG"/>
              </w:rPr>
              <w:t>най-малко 10 календарни дни преди датата на отпътуване</w:t>
            </w:r>
          </w:p>
        </w:tc>
        <w:tc>
          <w:tcPr>
            <w:tcW w:w="5130" w:type="dxa"/>
          </w:tcPr>
          <w:p w:rsidR="00BE05C8" w:rsidRPr="00D26A2C" w:rsidRDefault="00BE05C8" w:rsidP="008E379A">
            <w:pPr>
              <w:rPr>
                <w:rFonts w:ascii="Times New Roman" w:hAnsi="Times New Roman" w:cs="Times New Roman"/>
                <w:lang w:val="bg-BG"/>
              </w:rPr>
            </w:pPr>
            <w:r w:rsidRPr="00D26A2C">
              <w:rPr>
                <w:rFonts w:ascii="Times New Roman" w:hAnsi="Times New Roman" w:cs="Times New Roman"/>
                <w:lang w:val="bg-BG"/>
              </w:rPr>
              <w:t xml:space="preserve">Образец 1.3 </w:t>
            </w:r>
            <w:r w:rsidRPr="00D26A2C">
              <w:rPr>
                <w:rFonts w:ascii="Times New Roman" w:hAnsi="Times New Roman" w:cs="Times New Roman"/>
                <w:lang w:val="bg-BG"/>
              </w:rPr>
              <w:tab/>
            </w:r>
          </w:p>
          <w:p w:rsidR="00BE05C8" w:rsidRPr="00D26A2C" w:rsidRDefault="00BE05C8" w:rsidP="008E379A">
            <w:pPr>
              <w:rPr>
                <w:rFonts w:ascii="Times New Roman" w:hAnsi="Times New Roman" w:cs="Times New Roman"/>
                <w:lang w:val="bg-BG"/>
              </w:rPr>
            </w:pPr>
            <w:r w:rsidRPr="00D26A2C">
              <w:rPr>
                <w:rFonts w:ascii="Times New Roman" w:hAnsi="Times New Roman" w:cs="Times New Roman"/>
                <w:lang w:val="bg-BG"/>
              </w:rPr>
              <w:t>Доклад и заповед за командировка в страната на студенти и докторанти</w:t>
            </w:r>
          </w:p>
        </w:tc>
        <w:tc>
          <w:tcPr>
            <w:tcW w:w="3690" w:type="dxa"/>
            <w:vMerge/>
          </w:tcPr>
          <w:p w:rsidR="00BE05C8" w:rsidRPr="00D26A2C" w:rsidRDefault="00BE05C8" w:rsidP="008E379A">
            <w:pPr>
              <w:rPr>
                <w:rFonts w:ascii="Times New Roman" w:hAnsi="Times New Roman" w:cs="Times New Roman"/>
                <w:lang w:val="bg-BG"/>
              </w:rPr>
            </w:pPr>
          </w:p>
        </w:tc>
      </w:tr>
      <w:tr w:rsidR="00F57C45" w:rsidRPr="00D26A2C" w:rsidTr="00F57C45">
        <w:tc>
          <w:tcPr>
            <w:tcW w:w="3150" w:type="dxa"/>
          </w:tcPr>
          <w:p w:rsidR="00BE05C8" w:rsidRPr="00D26A2C" w:rsidRDefault="00BE05C8" w:rsidP="008E379A">
            <w:pPr>
              <w:rPr>
                <w:rFonts w:ascii="Times New Roman" w:hAnsi="Times New Roman" w:cs="Times New Roman"/>
                <w:b/>
                <w:lang w:val="bg-BG"/>
              </w:rPr>
            </w:pPr>
            <w:r w:rsidRPr="00D26A2C">
              <w:rPr>
                <w:rFonts w:ascii="Times New Roman" w:hAnsi="Times New Roman" w:cs="Times New Roman"/>
                <w:b/>
                <w:lang w:val="bg-BG"/>
              </w:rPr>
              <w:t>Командировки в чужбина</w:t>
            </w:r>
          </w:p>
        </w:tc>
        <w:tc>
          <w:tcPr>
            <w:tcW w:w="2610" w:type="dxa"/>
          </w:tcPr>
          <w:p w:rsidR="00BE05C8" w:rsidRPr="00D26A2C" w:rsidRDefault="00BE05C8" w:rsidP="00BE05C8">
            <w:pPr>
              <w:rPr>
                <w:rFonts w:ascii="Times New Roman" w:hAnsi="Times New Roman" w:cs="Times New Roman"/>
                <w:lang w:val="bg-BG"/>
              </w:rPr>
            </w:pPr>
            <w:r w:rsidRPr="00D26A2C">
              <w:rPr>
                <w:rFonts w:ascii="Times New Roman" w:hAnsi="Times New Roman" w:cs="Times New Roman"/>
                <w:lang w:val="bg-BG"/>
              </w:rPr>
              <w:t>най-малко 10 работни дни преди датата на отпътуване</w:t>
            </w:r>
          </w:p>
        </w:tc>
        <w:tc>
          <w:tcPr>
            <w:tcW w:w="5130" w:type="dxa"/>
          </w:tcPr>
          <w:p w:rsidR="00BE05C8" w:rsidRPr="00D26A2C" w:rsidRDefault="00BE05C8" w:rsidP="008E379A">
            <w:pPr>
              <w:rPr>
                <w:rFonts w:ascii="Times New Roman" w:hAnsi="Times New Roman" w:cs="Times New Roman"/>
                <w:lang w:val="bg-BG"/>
              </w:rPr>
            </w:pPr>
            <w:r w:rsidRPr="00D26A2C">
              <w:rPr>
                <w:rFonts w:ascii="Times New Roman" w:hAnsi="Times New Roman" w:cs="Times New Roman"/>
                <w:lang w:val="bg-BG"/>
              </w:rPr>
              <w:t xml:space="preserve">Образец 1.6 </w:t>
            </w:r>
            <w:r w:rsidRPr="00D26A2C">
              <w:rPr>
                <w:rFonts w:ascii="Times New Roman" w:hAnsi="Times New Roman" w:cs="Times New Roman"/>
                <w:lang w:val="bg-BG"/>
              </w:rPr>
              <w:tab/>
            </w:r>
          </w:p>
          <w:p w:rsidR="00BE05C8" w:rsidRPr="00D26A2C" w:rsidRDefault="00BE05C8" w:rsidP="008E379A">
            <w:pPr>
              <w:rPr>
                <w:rFonts w:ascii="Times New Roman" w:hAnsi="Times New Roman" w:cs="Times New Roman"/>
                <w:lang w:val="bg-BG"/>
              </w:rPr>
            </w:pPr>
            <w:r w:rsidRPr="00D26A2C">
              <w:rPr>
                <w:rFonts w:ascii="Times New Roman" w:hAnsi="Times New Roman" w:cs="Times New Roman"/>
                <w:lang w:val="bg-BG"/>
              </w:rPr>
              <w:t>Доклад и заповед за командировка в чужбина</w:t>
            </w:r>
          </w:p>
        </w:tc>
        <w:tc>
          <w:tcPr>
            <w:tcW w:w="3690" w:type="dxa"/>
          </w:tcPr>
          <w:p w:rsidR="00BE05C8" w:rsidRPr="00D26A2C" w:rsidRDefault="00AC6DEB" w:rsidP="008E379A">
            <w:pPr>
              <w:rPr>
                <w:rFonts w:ascii="Times New Roman" w:hAnsi="Times New Roman" w:cs="Times New Roman"/>
                <w:lang w:val="bg-BG"/>
              </w:rPr>
            </w:pPr>
            <w:r w:rsidRPr="00D26A2C">
              <w:rPr>
                <w:rFonts w:ascii="Times New Roman" w:hAnsi="Times New Roman" w:cs="Times New Roman"/>
                <w:lang w:val="bg-BG"/>
              </w:rPr>
              <w:t>При командироване в чужбина се спазва НАРЕДБАТА ЗА СЛУЖЕБНИТЕ КОМАНДИРОВКИ И СПЕЦИАЛИЗАЦИИ В ЧУЖБИНА: https://www.lex.bg/laws/ldoc/2135485996</w:t>
            </w:r>
          </w:p>
        </w:tc>
      </w:tr>
      <w:tr w:rsidR="00F57C45" w:rsidRPr="00D26A2C" w:rsidTr="00F57C45">
        <w:tc>
          <w:tcPr>
            <w:tcW w:w="3150" w:type="dxa"/>
          </w:tcPr>
          <w:p w:rsidR="00BE05C8" w:rsidRPr="00D26A2C" w:rsidRDefault="003F41D0" w:rsidP="003F41D0">
            <w:pPr>
              <w:rPr>
                <w:rFonts w:ascii="Times New Roman" w:hAnsi="Times New Roman" w:cs="Times New Roman"/>
                <w:lang w:val="bg-BG"/>
              </w:rPr>
            </w:pPr>
            <w:r w:rsidRPr="00D26A2C">
              <w:rPr>
                <w:rFonts w:ascii="Times New Roman" w:hAnsi="Times New Roman" w:cs="Times New Roman"/>
                <w:b/>
                <w:lang w:val="bg-BG"/>
              </w:rPr>
              <w:t>Закупуване</w:t>
            </w:r>
            <w:r w:rsidRPr="00D26A2C">
              <w:rPr>
                <w:rFonts w:ascii="Times New Roman" w:hAnsi="Times New Roman" w:cs="Times New Roman"/>
                <w:lang w:val="bg-BG"/>
              </w:rPr>
              <w:t xml:space="preserve"> на апаратура, материали, консумативи и други; Заявяване на </w:t>
            </w:r>
            <w:r w:rsidRPr="00D26A2C">
              <w:rPr>
                <w:rFonts w:ascii="Times New Roman" w:hAnsi="Times New Roman" w:cs="Times New Roman"/>
                <w:b/>
                <w:lang w:val="bg-BG"/>
              </w:rPr>
              <w:t>услуги</w:t>
            </w:r>
          </w:p>
        </w:tc>
        <w:tc>
          <w:tcPr>
            <w:tcW w:w="2610" w:type="dxa"/>
          </w:tcPr>
          <w:p w:rsidR="00BE05C8" w:rsidRPr="00D26A2C" w:rsidRDefault="003F41D0" w:rsidP="003F41D0">
            <w:pPr>
              <w:rPr>
                <w:rFonts w:ascii="Times New Roman" w:hAnsi="Times New Roman" w:cs="Times New Roman"/>
                <w:lang w:val="bg-BG"/>
              </w:rPr>
            </w:pPr>
            <w:r w:rsidRPr="00D26A2C">
              <w:rPr>
                <w:rFonts w:ascii="Times New Roman" w:hAnsi="Times New Roman" w:cs="Times New Roman"/>
                <w:lang w:val="bg-BG"/>
              </w:rPr>
              <w:t>до 1 ноември</w:t>
            </w:r>
          </w:p>
        </w:tc>
        <w:tc>
          <w:tcPr>
            <w:tcW w:w="5130" w:type="dxa"/>
          </w:tcPr>
          <w:p w:rsidR="00BE05C8" w:rsidRPr="00D26A2C" w:rsidRDefault="003F41D0" w:rsidP="008E379A">
            <w:pPr>
              <w:rPr>
                <w:rFonts w:ascii="Times New Roman" w:hAnsi="Times New Roman" w:cs="Times New Roman"/>
                <w:lang w:val="bg-BG"/>
              </w:rPr>
            </w:pPr>
            <w:r w:rsidRPr="00D26A2C">
              <w:rPr>
                <w:rFonts w:ascii="Times New Roman" w:hAnsi="Times New Roman" w:cs="Times New Roman"/>
                <w:lang w:val="bg-BG"/>
              </w:rPr>
              <w:t>https://www.uni-sofia.bg/index.php/bul/universitet_t/administrativna_struktura/dokumenti_na_su/obrazci_na_dokumenti/dostavki_i_uslugi</w:t>
            </w:r>
          </w:p>
        </w:tc>
        <w:tc>
          <w:tcPr>
            <w:tcW w:w="3690" w:type="dxa"/>
          </w:tcPr>
          <w:p w:rsidR="00BE05C8" w:rsidRPr="00D26A2C" w:rsidRDefault="003F41D0" w:rsidP="008E379A">
            <w:pPr>
              <w:rPr>
                <w:rFonts w:ascii="Times New Roman" w:hAnsi="Times New Roman" w:cs="Times New Roman"/>
                <w:lang w:val="bg-BG"/>
              </w:rPr>
            </w:pPr>
            <w:r w:rsidRPr="00D26A2C">
              <w:rPr>
                <w:rFonts w:ascii="Times New Roman" w:hAnsi="Times New Roman" w:cs="Times New Roman"/>
                <w:lang w:val="bg-BG"/>
              </w:rPr>
              <w:t>Договори на СУ с изпълнители по ЗОП: https://www.uni-sofia.bg/index.php/bul/universitet_t/administraciya/otdel_obschestveni_por_chki/obschestveni_por_chki_dogovori</w:t>
            </w:r>
          </w:p>
        </w:tc>
      </w:tr>
      <w:tr w:rsidR="00F57C45" w:rsidRPr="00D26A2C" w:rsidTr="00F57C45">
        <w:tc>
          <w:tcPr>
            <w:tcW w:w="3150" w:type="dxa"/>
          </w:tcPr>
          <w:p w:rsidR="00BE05C8" w:rsidRPr="00D26A2C" w:rsidRDefault="003F41D0" w:rsidP="003F41D0">
            <w:pPr>
              <w:rPr>
                <w:rFonts w:ascii="Times New Roman" w:hAnsi="Times New Roman" w:cs="Times New Roman"/>
                <w:lang w:val="bg-BG"/>
              </w:rPr>
            </w:pPr>
            <w:r w:rsidRPr="00D26A2C">
              <w:rPr>
                <w:rFonts w:ascii="Times New Roman" w:hAnsi="Times New Roman" w:cs="Times New Roman"/>
                <w:b/>
                <w:lang w:val="bg-BG"/>
              </w:rPr>
              <w:t>Разходи за публикуване</w:t>
            </w:r>
            <w:r w:rsidRPr="00D26A2C">
              <w:rPr>
                <w:rFonts w:ascii="Times New Roman" w:hAnsi="Times New Roman" w:cs="Times New Roman"/>
                <w:lang w:val="bg-BG"/>
              </w:rPr>
              <w:t xml:space="preserve"> на резултатите от изследванията и печатни разходи </w:t>
            </w:r>
          </w:p>
        </w:tc>
        <w:tc>
          <w:tcPr>
            <w:tcW w:w="2610" w:type="dxa"/>
          </w:tcPr>
          <w:p w:rsidR="00BE05C8" w:rsidRPr="00D26A2C" w:rsidRDefault="003F41D0" w:rsidP="008E379A">
            <w:pPr>
              <w:rPr>
                <w:rFonts w:ascii="Times New Roman" w:hAnsi="Times New Roman" w:cs="Times New Roman"/>
                <w:lang w:val="bg-BG"/>
              </w:rPr>
            </w:pPr>
            <w:r w:rsidRPr="00D26A2C">
              <w:rPr>
                <w:rFonts w:ascii="Times New Roman" w:hAnsi="Times New Roman" w:cs="Times New Roman"/>
                <w:lang w:val="bg-BG"/>
              </w:rPr>
              <w:t>до 1 ноември</w:t>
            </w:r>
          </w:p>
        </w:tc>
        <w:tc>
          <w:tcPr>
            <w:tcW w:w="5130" w:type="dxa"/>
          </w:tcPr>
          <w:p w:rsidR="00BE05C8" w:rsidRPr="00D26A2C" w:rsidRDefault="003F41D0" w:rsidP="008E379A">
            <w:pPr>
              <w:rPr>
                <w:rFonts w:ascii="Times New Roman" w:hAnsi="Times New Roman" w:cs="Times New Roman"/>
                <w:lang w:val="bg-BG"/>
              </w:rPr>
            </w:pPr>
            <w:r w:rsidRPr="00D26A2C">
              <w:rPr>
                <w:rFonts w:ascii="Times New Roman" w:hAnsi="Times New Roman" w:cs="Times New Roman"/>
                <w:lang w:val="bg-BG"/>
              </w:rPr>
              <w:t>Доклад в свободен текст с приложена калкулация от Университетско издателство</w:t>
            </w:r>
          </w:p>
        </w:tc>
        <w:tc>
          <w:tcPr>
            <w:tcW w:w="3690" w:type="dxa"/>
          </w:tcPr>
          <w:p w:rsidR="00BE05C8" w:rsidRPr="00D26A2C" w:rsidRDefault="00BE05C8" w:rsidP="008E379A">
            <w:pPr>
              <w:rPr>
                <w:rFonts w:ascii="Times New Roman" w:hAnsi="Times New Roman" w:cs="Times New Roman"/>
                <w:lang w:val="bg-BG"/>
              </w:rPr>
            </w:pPr>
          </w:p>
        </w:tc>
      </w:tr>
    </w:tbl>
    <w:p w:rsidR="00D2705C" w:rsidRPr="00D6579F" w:rsidRDefault="00D2705C" w:rsidP="00B861CC">
      <w:pPr>
        <w:ind w:left="-450"/>
        <w:contextualSpacing/>
        <w:jc w:val="both"/>
        <w:rPr>
          <w:rFonts w:ascii="Times New Roman" w:hAnsi="Times New Roman" w:cs="Times New Roman"/>
          <w:sz w:val="24"/>
          <w:szCs w:val="24"/>
          <w:lang w:val="bg-BG"/>
        </w:rPr>
      </w:pPr>
    </w:p>
    <w:p w:rsidR="005F1530" w:rsidRPr="00D26A2C" w:rsidRDefault="005F1530" w:rsidP="00D26A2C">
      <w:pPr>
        <w:jc w:val="both"/>
        <w:rPr>
          <w:rFonts w:ascii="Times New Roman" w:hAnsi="Times New Roman" w:cs="Times New Roman"/>
          <w:sz w:val="24"/>
          <w:szCs w:val="24"/>
          <w:u w:val="single"/>
          <w:lang w:val="bg-BG"/>
        </w:rPr>
        <w:sectPr w:rsidR="005F1530" w:rsidRPr="00D26A2C" w:rsidSect="005F1530">
          <w:pgSz w:w="15840" w:h="12240" w:orient="landscape"/>
          <w:pgMar w:top="720" w:right="720" w:bottom="907" w:left="1440" w:header="720" w:footer="720" w:gutter="0"/>
          <w:cols w:space="720"/>
          <w:docGrid w:linePitch="360"/>
        </w:sectPr>
      </w:pPr>
    </w:p>
    <w:p w:rsidR="005F1530" w:rsidRPr="00D6579F" w:rsidRDefault="005F1530" w:rsidP="005F1530">
      <w:pPr>
        <w:pStyle w:val="ListParagraph"/>
        <w:ind w:left="1080"/>
        <w:jc w:val="both"/>
        <w:rPr>
          <w:rFonts w:ascii="Times New Roman" w:hAnsi="Times New Roman" w:cs="Times New Roman"/>
          <w:sz w:val="24"/>
          <w:szCs w:val="24"/>
          <w:u w:val="single"/>
          <w:lang w:val="bg-BG"/>
        </w:rPr>
      </w:pPr>
    </w:p>
    <w:p w:rsidR="00E33926" w:rsidRPr="00E33926" w:rsidRDefault="000E328E" w:rsidP="00E33926">
      <w:pPr>
        <w:pStyle w:val="Heading1"/>
        <w:numPr>
          <w:ilvl w:val="2"/>
          <w:numId w:val="7"/>
        </w:numPr>
        <w:spacing w:after="240"/>
        <w:rPr>
          <w:rFonts w:ascii="Times New Roman" w:hAnsi="Times New Roman" w:cs="Times New Roman"/>
          <w:sz w:val="24"/>
          <w:szCs w:val="24"/>
          <w:lang w:val="bg-BG"/>
        </w:rPr>
      </w:pPr>
      <w:bookmarkStart w:id="17" w:name="_Toc36023100"/>
      <w:r w:rsidRPr="00D6579F">
        <w:rPr>
          <w:rFonts w:ascii="Times New Roman" w:hAnsi="Times New Roman" w:cs="Times New Roman"/>
          <w:sz w:val="24"/>
          <w:szCs w:val="24"/>
          <w:lang w:val="bg-BG"/>
        </w:rPr>
        <w:t>Допустимост на разходите</w:t>
      </w:r>
      <w:bookmarkEnd w:id="17"/>
    </w:p>
    <w:p w:rsidR="00D2705C" w:rsidRPr="001A3131" w:rsidRDefault="00C52C81" w:rsidP="001A3131">
      <w:pPr>
        <w:spacing w:after="0"/>
        <w:ind w:left="360"/>
        <w:jc w:val="both"/>
        <w:rPr>
          <w:rFonts w:ascii="Times New Roman" w:hAnsi="Times New Roman" w:cs="Times New Roman"/>
          <w:sz w:val="24"/>
          <w:szCs w:val="24"/>
          <w:u w:val="single"/>
          <w:lang w:val="bg-BG"/>
        </w:rPr>
      </w:pPr>
      <w:r w:rsidRPr="001A3131">
        <w:rPr>
          <w:rFonts w:ascii="Times New Roman" w:hAnsi="Times New Roman" w:cs="Times New Roman"/>
          <w:sz w:val="24"/>
          <w:szCs w:val="24"/>
          <w:u w:val="single"/>
          <w:lang w:val="bg-BG"/>
        </w:rPr>
        <w:t>Допустими са разходи</w:t>
      </w:r>
      <w:r w:rsidR="00D2705C" w:rsidRPr="001A3131">
        <w:rPr>
          <w:rFonts w:ascii="Times New Roman" w:hAnsi="Times New Roman" w:cs="Times New Roman"/>
          <w:sz w:val="24"/>
          <w:szCs w:val="24"/>
          <w:u w:val="single"/>
          <w:lang w:val="bg-BG"/>
        </w:rPr>
        <w:t>:</w:t>
      </w:r>
    </w:p>
    <w:p w:rsidR="00D2705C" w:rsidRPr="00D6579F" w:rsidRDefault="00C03D88" w:rsidP="00D2705C">
      <w:pPr>
        <w:pStyle w:val="ListParagraph"/>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Извър</w:t>
      </w:r>
      <w:r w:rsidR="00D2705C" w:rsidRPr="00D6579F">
        <w:rPr>
          <w:rFonts w:ascii="Times New Roman" w:hAnsi="Times New Roman" w:cs="Times New Roman"/>
          <w:sz w:val="24"/>
          <w:szCs w:val="24"/>
          <w:lang w:val="bg-BG"/>
        </w:rPr>
        <w:t>шени след датата на извеждане на договора и преди 10 декември на текущата календарна година;</w:t>
      </w:r>
    </w:p>
    <w:p w:rsidR="00D2705C" w:rsidRPr="00D6579F" w:rsidRDefault="00D2705C" w:rsidP="00D2705C">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Заявени, одобрени, извършени и отчетени по описания в т. 4.2.1. ред.</w:t>
      </w:r>
    </w:p>
    <w:p w:rsidR="00D2705C" w:rsidRPr="001A3131" w:rsidRDefault="00C52C81" w:rsidP="001A3131">
      <w:pPr>
        <w:spacing w:after="0"/>
        <w:ind w:left="360"/>
        <w:jc w:val="both"/>
        <w:rPr>
          <w:rFonts w:ascii="Times New Roman" w:hAnsi="Times New Roman" w:cs="Times New Roman"/>
          <w:sz w:val="24"/>
          <w:szCs w:val="24"/>
          <w:u w:val="single"/>
          <w:lang w:val="bg-BG"/>
        </w:rPr>
      </w:pPr>
      <w:r w:rsidRPr="001A3131">
        <w:rPr>
          <w:rFonts w:ascii="Times New Roman" w:hAnsi="Times New Roman" w:cs="Times New Roman"/>
          <w:sz w:val="24"/>
          <w:szCs w:val="24"/>
          <w:u w:val="single"/>
          <w:lang w:val="bg-BG"/>
        </w:rPr>
        <w:t>Недопустими са разходи</w:t>
      </w:r>
      <w:r w:rsidR="00D2705C" w:rsidRPr="001A3131">
        <w:rPr>
          <w:rFonts w:ascii="Times New Roman" w:hAnsi="Times New Roman" w:cs="Times New Roman"/>
          <w:sz w:val="24"/>
          <w:szCs w:val="24"/>
          <w:u w:val="single"/>
          <w:lang w:val="bg-BG"/>
        </w:rPr>
        <w:t>:</w:t>
      </w:r>
    </w:p>
    <w:p w:rsidR="00D2705C" w:rsidRPr="00D6579F" w:rsidRDefault="00D2705C" w:rsidP="00D2705C">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Извършени преди датата на извеждане на договора и след 10 декември на текущата календарна година;</w:t>
      </w:r>
    </w:p>
    <w:p w:rsidR="00D2705C" w:rsidRPr="00D6579F" w:rsidRDefault="00D2705C" w:rsidP="00D2705C">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Извършени за изпълнението на задачи и дейности, които не са предвидени в работната програма и нямат отношение към осъществяването на изследоват</w:t>
      </w:r>
      <w:r w:rsidR="00C52C81" w:rsidRPr="00D6579F">
        <w:rPr>
          <w:rFonts w:ascii="Times New Roman" w:hAnsi="Times New Roman" w:cs="Times New Roman"/>
          <w:sz w:val="24"/>
          <w:szCs w:val="24"/>
          <w:lang w:val="bg-BG"/>
        </w:rPr>
        <w:t>елския проект;</w:t>
      </w:r>
    </w:p>
    <w:p w:rsidR="00C52C81" w:rsidRPr="00D6579F" w:rsidRDefault="00C52C81" w:rsidP="00C52C81">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За закупуване на обзавеждане, битови уреди, телефонни апарати и други подобни; </w:t>
      </w:r>
    </w:p>
    <w:p w:rsidR="00C52C81" w:rsidRPr="00D6579F" w:rsidRDefault="00C52C81" w:rsidP="00C52C81">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Закупуване на работно облекло и обувки; </w:t>
      </w:r>
    </w:p>
    <w:p w:rsidR="00C52C81" w:rsidRPr="00D6579F" w:rsidRDefault="00C52C81" w:rsidP="00C52C81">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Абонамент за вестници и неспециализирани списания; </w:t>
      </w:r>
    </w:p>
    <w:p w:rsidR="00C52C81" w:rsidRPr="00D6579F" w:rsidRDefault="00C52C81" w:rsidP="00C52C81">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Заплащане на такси за участие в курсове за квалификация, компютърна грамотност, езикова подготовка и др.; </w:t>
      </w:r>
    </w:p>
    <w:p w:rsidR="00C52C81" w:rsidRPr="00D6579F" w:rsidRDefault="00C52C81" w:rsidP="00C52C81">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Допълнително заплащане на телефони и ремонт на помещения (с изключение на инфраструктурните проекти).</w:t>
      </w:r>
    </w:p>
    <w:p w:rsidR="00C52C81" w:rsidRPr="001A3131" w:rsidRDefault="00C52C81" w:rsidP="001A3131">
      <w:pPr>
        <w:spacing w:after="0"/>
        <w:ind w:left="360"/>
        <w:jc w:val="both"/>
        <w:rPr>
          <w:rFonts w:ascii="Times New Roman" w:hAnsi="Times New Roman" w:cs="Times New Roman"/>
          <w:sz w:val="24"/>
          <w:szCs w:val="24"/>
          <w:u w:val="single"/>
          <w:lang w:val="bg-BG"/>
        </w:rPr>
      </w:pPr>
      <w:r w:rsidRPr="001A3131">
        <w:rPr>
          <w:rFonts w:ascii="Times New Roman" w:hAnsi="Times New Roman" w:cs="Times New Roman"/>
          <w:sz w:val="24"/>
          <w:szCs w:val="24"/>
          <w:u w:val="single"/>
          <w:lang w:val="bg-BG"/>
        </w:rPr>
        <w:t>Разходи за възнаграждения на членове</w:t>
      </w:r>
      <w:r w:rsidR="001A3131">
        <w:rPr>
          <w:rFonts w:ascii="Times New Roman" w:hAnsi="Times New Roman" w:cs="Times New Roman"/>
          <w:sz w:val="24"/>
          <w:szCs w:val="24"/>
          <w:u w:val="single"/>
          <w:lang w:val="bg-BG"/>
        </w:rPr>
        <w:t xml:space="preserve">те на екипа - </w:t>
      </w:r>
      <w:r w:rsidR="001A3131">
        <w:rPr>
          <w:rFonts w:ascii="Times New Roman" w:hAnsi="Times New Roman" w:cs="Times New Roman"/>
          <w:sz w:val="24"/>
          <w:szCs w:val="24"/>
          <w:lang w:val="bg-BG"/>
        </w:rPr>
        <w:t>н</w:t>
      </w:r>
      <w:r w:rsidRPr="00D6579F">
        <w:rPr>
          <w:rFonts w:ascii="Times New Roman" w:hAnsi="Times New Roman" w:cs="Times New Roman"/>
          <w:sz w:val="24"/>
          <w:szCs w:val="24"/>
          <w:lang w:val="bg-BG"/>
        </w:rPr>
        <w:t>а участниците в изпълнението на проекта може да се изплащат възнаграждения в следните размери:</w:t>
      </w:r>
    </w:p>
    <w:p w:rsidR="00C52C81" w:rsidRPr="00D6579F" w:rsidRDefault="00C52C81" w:rsidP="00C52C81">
      <w:pPr>
        <w:spacing w:after="0"/>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до 35 на сто от общата стойност на договора, когато в състава на научноизследователския колектив има включени докторанти и/или млади учени. („Млад учен” е лице, което извършва научноизследователска и научно-образователна дейност във висше училище и/или научна организация след придобиване на образователно квалификационна степен „магистър”, но не повече от 10 години след придобиването й). Не по-малко от 30 на сто от сумата се предоставя за възнаграждение на докторантите и/или младите учени, участници в изпълнението на проекта, а останалите средства се разпределят между другите участници.</w:t>
      </w:r>
    </w:p>
    <w:p w:rsidR="00C52C81" w:rsidRPr="00D6579F" w:rsidRDefault="00C52C81" w:rsidP="00C52C81">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до 10 на сто от общата стойностна договора, когато в състава на научноизследователския колектив не са включе</w:t>
      </w:r>
      <w:r w:rsidR="004642A2" w:rsidRPr="00D6579F">
        <w:rPr>
          <w:rFonts w:ascii="Times New Roman" w:hAnsi="Times New Roman" w:cs="Times New Roman"/>
          <w:sz w:val="24"/>
          <w:szCs w:val="24"/>
          <w:lang w:val="bg-BG"/>
        </w:rPr>
        <w:t>ни докторанти и/или млади учени.</w:t>
      </w:r>
    </w:p>
    <w:p w:rsidR="00B95ADD" w:rsidRPr="00D6579F" w:rsidRDefault="004642A2" w:rsidP="004642A2">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В перо „Възнаграждение за рецензия на окончателния отчет по договора“ се залагат средства, единствено когато установената практика във факултета е да се заплаща изготвената рецензия. Стойността на разхода трябва да съответства на стойността за заплащане на първоначалната рецензия.</w:t>
      </w:r>
    </w:p>
    <w:p w:rsidR="00B95ADD" w:rsidRPr="00D6579F" w:rsidRDefault="0076328C" w:rsidP="0076328C">
      <w:pPr>
        <w:pStyle w:val="Heading1"/>
        <w:ind w:firstLine="360"/>
        <w:rPr>
          <w:rFonts w:ascii="Times New Roman" w:hAnsi="Times New Roman" w:cs="Times New Roman"/>
          <w:sz w:val="24"/>
          <w:szCs w:val="24"/>
          <w:lang w:val="bg-BG"/>
        </w:rPr>
      </w:pPr>
      <w:bookmarkStart w:id="18" w:name="_Toc36023101"/>
      <w:r w:rsidRPr="00D6579F">
        <w:rPr>
          <w:rFonts w:ascii="Times New Roman" w:hAnsi="Times New Roman" w:cs="Times New Roman"/>
          <w:sz w:val="24"/>
          <w:szCs w:val="24"/>
          <w:lang w:val="bg-BG"/>
        </w:rPr>
        <w:t xml:space="preserve">4.2.3 </w:t>
      </w:r>
      <w:r w:rsidR="00B95ADD" w:rsidRPr="00D6579F">
        <w:rPr>
          <w:rFonts w:ascii="Times New Roman" w:hAnsi="Times New Roman" w:cs="Times New Roman"/>
          <w:sz w:val="24"/>
          <w:szCs w:val="24"/>
          <w:lang w:val="bg-BG"/>
        </w:rPr>
        <w:t>Промени в бюджета</w:t>
      </w:r>
      <w:bookmarkEnd w:id="18"/>
    </w:p>
    <w:p w:rsidR="00D2705C" w:rsidRPr="00D6579F" w:rsidRDefault="00C52C81" w:rsidP="00CF4816">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Допуска се преразпределяне на средствата по договора, като за него писмено се уведомява Ректорът. </w:t>
      </w:r>
      <w:r w:rsidR="00B861CC" w:rsidRPr="00D6579F">
        <w:rPr>
          <w:rFonts w:ascii="Times New Roman" w:hAnsi="Times New Roman" w:cs="Times New Roman"/>
          <w:sz w:val="24"/>
          <w:szCs w:val="24"/>
          <w:lang w:val="bg-BG"/>
        </w:rPr>
        <w:t>При промени в бюджета</w:t>
      </w:r>
      <w:r w:rsidR="001A3131">
        <w:rPr>
          <w:rFonts w:ascii="Times New Roman" w:hAnsi="Times New Roman" w:cs="Times New Roman"/>
          <w:sz w:val="24"/>
          <w:szCs w:val="24"/>
          <w:lang w:val="bg-BG"/>
        </w:rPr>
        <w:t xml:space="preserve"> в размер над 30% от общата</w:t>
      </w:r>
      <w:r w:rsidR="00B861CC" w:rsidRPr="00D6579F">
        <w:rPr>
          <w:rFonts w:ascii="Times New Roman" w:hAnsi="Times New Roman" w:cs="Times New Roman"/>
          <w:sz w:val="24"/>
          <w:szCs w:val="24"/>
          <w:lang w:val="bg-BG"/>
        </w:rPr>
        <w:t xml:space="preserve"> стойност, ръководителят подава доклад  с предложението за промяна, адресиран до Ректора н</w:t>
      </w:r>
      <w:r w:rsidR="001A3131">
        <w:rPr>
          <w:rFonts w:ascii="Times New Roman" w:hAnsi="Times New Roman" w:cs="Times New Roman"/>
          <w:sz w:val="24"/>
          <w:szCs w:val="24"/>
          <w:lang w:val="bg-BG"/>
        </w:rPr>
        <w:t>а СУ и предварително съгласуван</w:t>
      </w:r>
      <w:r w:rsidR="00B861CC" w:rsidRPr="00D6579F">
        <w:rPr>
          <w:rFonts w:ascii="Times New Roman" w:hAnsi="Times New Roman" w:cs="Times New Roman"/>
          <w:sz w:val="24"/>
          <w:szCs w:val="24"/>
          <w:lang w:val="bg-BG"/>
        </w:rPr>
        <w:t xml:space="preserve"> с председателя на съответната</w:t>
      </w:r>
      <w:r w:rsidR="001A3131">
        <w:rPr>
          <w:rFonts w:ascii="Times New Roman" w:hAnsi="Times New Roman" w:cs="Times New Roman"/>
          <w:sz w:val="24"/>
          <w:szCs w:val="24"/>
          <w:lang w:val="bg-BG"/>
        </w:rPr>
        <w:t xml:space="preserve"> научна</w:t>
      </w:r>
      <w:r w:rsidR="00B861CC" w:rsidRPr="00D6579F">
        <w:rPr>
          <w:rFonts w:ascii="Times New Roman" w:hAnsi="Times New Roman" w:cs="Times New Roman"/>
          <w:sz w:val="24"/>
          <w:szCs w:val="24"/>
          <w:lang w:val="bg-BG"/>
        </w:rPr>
        <w:t xml:space="preserve"> комисия. Всички одобрени от Ректора промени в бюджета на проекта стават неразделна част от договора като допълнения към приложение 4.</w:t>
      </w:r>
    </w:p>
    <w:p w:rsidR="00D2705C" w:rsidRPr="00D6579F" w:rsidRDefault="00E139DA" w:rsidP="00E139DA">
      <w:pPr>
        <w:pStyle w:val="Heading1"/>
        <w:numPr>
          <w:ilvl w:val="1"/>
          <w:numId w:val="7"/>
        </w:numPr>
        <w:rPr>
          <w:rFonts w:ascii="Times New Roman" w:hAnsi="Times New Roman" w:cs="Times New Roman"/>
          <w:sz w:val="24"/>
          <w:szCs w:val="24"/>
          <w:lang w:val="bg-BG"/>
        </w:rPr>
      </w:pPr>
      <w:r w:rsidRPr="00D6579F">
        <w:rPr>
          <w:rFonts w:ascii="Times New Roman" w:hAnsi="Times New Roman" w:cs="Times New Roman"/>
          <w:sz w:val="24"/>
          <w:szCs w:val="24"/>
          <w:lang w:val="bg-BG"/>
        </w:rPr>
        <w:lastRenderedPageBreak/>
        <w:t xml:space="preserve"> </w:t>
      </w:r>
      <w:bookmarkStart w:id="19" w:name="_Toc36023102"/>
      <w:r w:rsidR="00D2705C" w:rsidRPr="00D6579F">
        <w:rPr>
          <w:rFonts w:ascii="Times New Roman" w:hAnsi="Times New Roman" w:cs="Times New Roman"/>
          <w:sz w:val="24"/>
          <w:szCs w:val="24"/>
          <w:lang w:val="bg-BG"/>
        </w:rPr>
        <w:t xml:space="preserve">Изпълнение на </w:t>
      </w:r>
      <w:r w:rsidR="0081700A" w:rsidRPr="00D6579F">
        <w:rPr>
          <w:rFonts w:ascii="Times New Roman" w:hAnsi="Times New Roman" w:cs="Times New Roman"/>
          <w:sz w:val="24"/>
          <w:szCs w:val="24"/>
          <w:lang w:val="bg-BG"/>
        </w:rPr>
        <w:t>дейностите</w:t>
      </w:r>
      <w:bookmarkEnd w:id="19"/>
    </w:p>
    <w:p w:rsidR="00D2705C" w:rsidRPr="00D6579F" w:rsidRDefault="00D2705C" w:rsidP="00D2705C">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Изискванията към научноизследователския продукт и целите на проекта са посочени в научния план (приложение 1) към договора. Сроковете и етапите за изпълнение на научните задачи, видовете дейности, резултатите, формата и начинът на отчитането им са посочени в работната програма (приложение 2) към договора.</w:t>
      </w:r>
    </w:p>
    <w:p w:rsidR="00CF4816" w:rsidRPr="00D6579F" w:rsidRDefault="00CF4816" w:rsidP="00CF4816">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Изпълнението на дейностите става при спазване на Етичния кодекс на академичната общност на СУ „Св. Климент Охридски", както и на утвърдените в европейски документи в областта на научните изследвания етични правила.</w:t>
      </w:r>
    </w:p>
    <w:p w:rsidR="00CF4816" w:rsidRPr="00D6579F" w:rsidRDefault="00CF4816" w:rsidP="00CF4816">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При публикуване на резултати от изпълнението на проекта ръководителят и членовете на екипа задължително посочват, че изследванията са финансирани със средствата, отпуснати целево от държавния бюджет на СУ „Св. Климент Охридски” за научни изследвания, като цитират номера на договора по проекта.</w:t>
      </w:r>
    </w:p>
    <w:p w:rsidR="00CF4816" w:rsidRPr="00D6579F" w:rsidRDefault="00CF4816" w:rsidP="001A3131">
      <w:pPr>
        <w:spacing w:after="0"/>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Допуска се промяна на екипа на проекта при следния ред:</w:t>
      </w:r>
    </w:p>
    <w:p w:rsidR="00CF4816" w:rsidRPr="00D6579F" w:rsidRDefault="00D2705C" w:rsidP="00CF4816">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Допълнителни членове на научния екип могат да се включват, след като ръководителят на проекта писмено е уведомил Ректора и докладът му е получил положителна резолюция. </w:t>
      </w:r>
    </w:p>
    <w:p w:rsidR="00C528B8" w:rsidRPr="00E33926" w:rsidRDefault="00D2705C" w:rsidP="00E33926">
      <w:pPr>
        <w:pStyle w:val="ListParagraph"/>
        <w:numPr>
          <w:ilvl w:val="0"/>
          <w:numId w:val="5"/>
        </w:numPr>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Отпадането на членове от научния екип става само при заявено лично желание от тяхна страна, поради невъзможност за участие и след писмено уведомяване и съгласие на Ректора.</w:t>
      </w:r>
    </w:p>
    <w:p w:rsidR="0081700A" w:rsidRPr="00E33926" w:rsidRDefault="00C528B8" w:rsidP="00E33926">
      <w:pPr>
        <w:pStyle w:val="Heading1"/>
        <w:numPr>
          <w:ilvl w:val="0"/>
          <w:numId w:val="7"/>
        </w:numPr>
        <w:rPr>
          <w:rFonts w:ascii="Times New Roman" w:hAnsi="Times New Roman" w:cs="Times New Roman"/>
          <w:b/>
          <w:sz w:val="24"/>
          <w:szCs w:val="24"/>
          <w:lang w:val="bg-BG"/>
        </w:rPr>
      </w:pPr>
      <w:bookmarkStart w:id="20" w:name="_Toc36023103"/>
      <w:r w:rsidRPr="00D6579F">
        <w:rPr>
          <w:rFonts w:ascii="Times New Roman" w:hAnsi="Times New Roman" w:cs="Times New Roman"/>
          <w:b/>
          <w:sz w:val="24"/>
          <w:szCs w:val="24"/>
          <w:lang w:val="bg-BG"/>
        </w:rPr>
        <w:t xml:space="preserve">Отчитане на проектите </w:t>
      </w:r>
      <w:r w:rsidR="00B861CC" w:rsidRPr="00D6579F">
        <w:rPr>
          <w:rFonts w:ascii="Times New Roman" w:hAnsi="Times New Roman" w:cs="Times New Roman"/>
          <w:b/>
          <w:sz w:val="24"/>
          <w:szCs w:val="24"/>
          <w:lang w:val="bg-BG"/>
        </w:rPr>
        <w:t>и оценка на резултатите</w:t>
      </w:r>
      <w:bookmarkEnd w:id="20"/>
    </w:p>
    <w:p w:rsidR="0075582F" w:rsidRPr="00D6579F" w:rsidRDefault="00B85DDA" w:rsidP="00B85DDA">
      <w:pPr>
        <w:pStyle w:val="Heading1"/>
        <w:numPr>
          <w:ilvl w:val="1"/>
          <w:numId w:val="7"/>
        </w:numPr>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 </w:t>
      </w:r>
      <w:bookmarkStart w:id="21" w:name="_Toc36023104"/>
      <w:r w:rsidR="00B861CC" w:rsidRPr="00D6579F">
        <w:rPr>
          <w:rFonts w:ascii="Times New Roman" w:hAnsi="Times New Roman" w:cs="Times New Roman"/>
          <w:sz w:val="24"/>
          <w:szCs w:val="24"/>
          <w:lang w:val="bg-BG"/>
        </w:rPr>
        <w:t>Отчитане</w:t>
      </w:r>
      <w:bookmarkEnd w:id="21"/>
    </w:p>
    <w:p w:rsidR="00341C30" w:rsidRPr="00D6579F" w:rsidRDefault="003E2C82" w:rsidP="00341C30">
      <w:pPr>
        <w:spacing w:before="100" w:beforeAutospacing="1" w:after="100" w:afterAutospacing="1" w:line="240" w:lineRule="auto"/>
        <w:ind w:left="360"/>
        <w:jc w:val="both"/>
        <w:rPr>
          <w:rFonts w:ascii="Times New Roman" w:eastAsia="Times New Roman" w:hAnsi="Times New Roman" w:cs="Times New Roman"/>
          <w:sz w:val="24"/>
          <w:szCs w:val="24"/>
        </w:rPr>
      </w:pPr>
      <w:r w:rsidRPr="00D6579F">
        <w:rPr>
          <w:rFonts w:ascii="Times New Roman" w:hAnsi="Times New Roman" w:cs="Times New Roman"/>
          <w:sz w:val="24"/>
          <w:szCs w:val="24"/>
          <w:lang w:val="bg-BG"/>
        </w:rPr>
        <w:t>Окончателният отчет по договора задължително включва научен отчет (образец 9), финансов отчет и таблица с количествени показатели за научната дейност (образец 10).</w:t>
      </w:r>
      <w:r w:rsidR="00341C30" w:rsidRPr="00D6579F">
        <w:rPr>
          <w:rFonts w:ascii="Times New Roman" w:eastAsia="Times New Roman" w:hAnsi="Times New Roman" w:cs="Times New Roman"/>
          <w:sz w:val="24"/>
          <w:szCs w:val="24"/>
          <w:lang w:val="bg-BG"/>
        </w:rPr>
        <w:t xml:space="preserve"> По преценка на ръководителя може да бъдат подадени приложения (списъци с линкове към публикации, рекламни и презентационни материали, статии, постери и др.). </w:t>
      </w:r>
      <w:r w:rsidR="001A3131">
        <w:rPr>
          <w:rFonts w:ascii="Times New Roman" w:eastAsia="Times New Roman" w:hAnsi="Times New Roman" w:cs="Times New Roman"/>
          <w:sz w:val="24"/>
          <w:szCs w:val="24"/>
          <w:lang w:val="bg-BG"/>
        </w:rPr>
        <w:t xml:space="preserve">Електронната платформа позволява </w:t>
      </w:r>
      <w:r w:rsidR="00341C30" w:rsidRPr="00D6579F">
        <w:rPr>
          <w:rFonts w:ascii="Times New Roman" w:eastAsia="Times New Roman" w:hAnsi="Times New Roman" w:cs="Times New Roman"/>
          <w:sz w:val="24"/>
          <w:szCs w:val="24"/>
          <w:lang w:val="bg-BG"/>
        </w:rPr>
        <w:t xml:space="preserve">да се добави само един файл с приложения. Ако са налични повече от едно приложения, </w:t>
      </w:r>
      <w:r w:rsidR="001A3131">
        <w:rPr>
          <w:rFonts w:ascii="Times New Roman" w:eastAsia="Times New Roman" w:hAnsi="Times New Roman" w:cs="Times New Roman"/>
          <w:sz w:val="24"/>
          <w:szCs w:val="24"/>
          <w:lang w:val="bg-BG"/>
        </w:rPr>
        <w:t xml:space="preserve">те </w:t>
      </w:r>
      <w:r w:rsidR="00341C30" w:rsidRPr="00D6579F">
        <w:rPr>
          <w:rFonts w:ascii="Times New Roman" w:eastAsia="Times New Roman" w:hAnsi="Times New Roman" w:cs="Times New Roman"/>
          <w:sz w:val="24"/>
          <w:szCs w:val="24"/>
          <w:lang w:val="bg-BG"/>
        </w:rPr>
        <w:t>следва д</w:t>
      </w:r>
      <w:r w:rsidR="001A3131">
        <w:rPr>
          <w:rFonts w:ascii="Times New Roman" w:eastAsia="Times New Roman" w:hAnsi="Times New Roman" w:cs="Times New Roman"/>
          <w:sz w:val="24"/>
          <w:szCs w:val="24"/>
          <w:lang w:val="bg-BG"/>
        </w:rPr>
        <w:t>а бъдат архивирани и прикачени в един общ</w:t>
      </w:r>
      <w:r w:rsidR="00341C30" w:rsidRPr="00D6579F">
        <w:rPr>
          <w:rFonts w:ascii="Times New Roman" w:eastAsia="Times New Roman" w:hAnsi="Times New Roman" w:cs="Times New Roman"/>
          <w:sz w:val="24"/>
          <w:szCs w:val="24"/>
          <w:lang w:val="bg-BG"/>
        </w:rPr>
        <w:t xml:space="preserve"> архивиран файл. </w:t>
      </w:r>
    </w:p>
    <w:p w:rsidR="00341C30" w:rsidRPr="00D6579F" w:rsidRDefault="003E2C82" w:rsidP="001A3131">
      <w:pPr>
        <w:ind w:left="360"/>
        <w:jc w:val="both"/>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Всички отчетни документи се подават по електронен път в електронната платформа (без ограничение за формат на файловете). Финансовият отчет се съхранява в оригинал в отдел Административно-счетоводно обслужване. Научният отчет в оригинал се съхранява от ръководителя на проекта в продължение на 5 години и се предоставя при поискване. </w:t>
      </w:r>
    </w:p>
    <w:p w:rsidR="003E2C82" w:rsidRPr="001A3131" w:rsidRDefault="003E2C82" w:rsidP="00E33926">
      <w:pPr>
        <w:ind w:left="360"/>
        <w:rPr>
          <w:rFonts w:ascii="Times New Roman" w:hAnsi="Times New Roman" w:cs="Times New Roman"/>
          <w:b/>
          <w:sz w:val="24"/>
          <w:szCs w:val="24"/>
          <w:lang w:val="bg-BG"/>
        </w:rPr>
      </w:pPr>
      <w:r w:rsidRPr="001A3131">
        <w:rPr>
          <w:rFonts w:ascii="Times New Roman" w:hAnsi="Times New Roman" w:cs="Times New Roman"/>
          <w:b/>
          <w:sz w:val="24"/>
          <w:szCs w:val="24"/>
          <w:lang w:val="bg-BG"/>
        </w:rPr>
        <w:t>Крайният срок за предаване на отчета е 10 декември на текущата година.</w:t>
      </w:r>
      <w:r w:rsidR="00B861CC" w:rsidRPr="001A3131">
        <w:rPr>
          <w:rFonts w:ascii="Times New Roman" w:hAnsi="Times New Roman" w:cs="Times New Roman"/>
          <w:b/>
          <w:sz w:val="24"/>
          <w:szCs w:val="24"/>
          <w:lang w:val="bg-BG"/>
        </w:rPr>
        <w:t xml:space="preserve"> </w:t>
      </w:r>
    </w:p>
    <w:p w:rsidR="00B861CC" w:rsidRPr="00D6579F" w:rsidRDefault="00B85DDA" w:rsidP="00B85DDA">
      <w:pPr>
        <w:pStyle w:val="Heading1"/>
        <w:numPr>
          <w:ilvl w:val="1"/>
          <w:numId w:val="7"/>
        </w:numPr>
        <w:rPr>
          <w:rFonts w:ascii="Times New Roman" w:hAnsi="Times New Roman" w:cs="Times New Roman"/>
          <w:sz w:val="24"/>
          <w:szCs w:val="24"/>
          <w:lang w:val="bg-BG"/>
        </w:rPr>
      </w:pPr>
      <w:r w:rsidRPr="00D6579F">
        <w:rPr>
          <w:rFonts w:ascii="Times New Roman" w:hAnsi="Times New Roman" w:cs="Times New Roman"/>
          <w:sz w:val="24"/>
          <w:szCs w:val="24"/>
          <w:lang w:val="bg-BG"/>
        </w:rPr>
        <w:t xml:space="preserve"> </w:t>
      </w:r>
      <w:bookmarkStart w:id="22" w:name="_Toc36023105"/>
      <w:r w:rsidR="00B861CC" w:rsidRPr="00D6579F">
        <w:rPr>
          <w:rFonts w:ascii="Times New Roman" w:hAnsi="Times New Roman" w:cs="Times New Roman"/>
          <w:sz w:val="24"/>
          <w:szCs w:val="24"/>
          <w:lang w:val="bg-BG"/>
        </w:rPr>
        <w:t>Оценка на резултатите</w:t>
      </w:r>
      <w:bookmarkEnd w:id="22"/>
    </w:p>
    <w:p w:rsidR="00B861CC" w:rsidRPr="001A3131" w:rsidRDefault="00B861CC" w:rsidP="001A3131">
      <w:pPr>
        <w:ind w:left="360"/>
        <w:jc w:val="both"/>
        <w:rPr>
          <w:rFonts w:ascii="Times New Roman" w:eastAsia="Times New Roman" w:hAnsi="Times New Roman" w:cs="Times New Roman"/>
          <w:sz w:val="24"/>
          <w:szCs w:val="24"/>
          <w:lang w:val="bg-BG"/>
        </w:rPr>
      </w:pPr>
      <w:r w:rsidRPr="00D6579F">
        <w:rPr>
          <w:rFonts w:ascii="Times New Roman" w:hAnsi="Times New Roman" w:cs="Times New Roman"/>
          <w:sz w:val="24"/>
          <w:szCs w:val="24"/>
          <w:lang w:val="bg-BG"/>
        </w:rPr>
        <w:t>Отчетът се рецензира от едно хабилитирано лице извън състава на звеното съгласно експертни карти за оценка на отчет. Отчетът по договора се приема от съответната</w:t>
      </w:r>
      <w:r w:rsidR="003E2C82" w:rsidRPr="00D6579F">
        <w:rPr>
          <w:rFonts w:ascii="Times New Roman" w:hAnsi="Times New Roman" w:cs="Times New Roman"/>
          <w:sz w:val="24"/>
          <w:szCs w:val="24"/>
          <w:lang w:val="bg-BG"/>
        </w:rPr>
        <w:t xml:space="preserve"> научна</w:t>
      </w:r>
      <w:r w:rsidRPr="00D6579F">
        <w:rPr>
          <w:rFonts w:ascii="Times New Roman" w:hAnsi="Times New Roman" w:cs="Times New Roman"/>
          <w:sz w:val="24"/>
          <w:szCs w:val="24"/>
          <w:lang w:val="bg-BG"/>
        </w:rPr>
        <w:t xml:space="preserve"> комисия с решение, което се утвърждава </w:t>
      </w:r>
      <w:r w:rsidR="003E2C82" w:rsidRPr="00D6579F">
        <w:rPr>
          <w:rFonts w:ascii="Times New Roman" w:hAnsi="Times New Roman" w:cs="Times New Roman"/>
          <w:sz w:val="24"/>
          <w:szCs w:val="24"/>
          <w:lang w:val="bg-BG"/>
        </w:rPr>
        <w:t xml:space="preserve">от УС. </w:t>
      </w:r>
      <w:r w:rsidR="007A2072" w:rsidRPr="00D6579F">
        <w:rPr>
          <w:rFonts w:ascii="Times New Roman" w:eastAsia="Times New Roman" w:hAnsi="Times New Roman" w:cs="Times New Roman"/>
          <w:sz w:val="24"/>
          <w:szCs w:val="24"/>
          <w:lang w:val="bg-BG"/>
        </w:rPr>
        <w:t>По преценка на научната комисия ръководителите могат да получат достъп до съдържателната част от рецензията.</w:t>
      </w:r>
      <w:r w:rsidR="007A2072" w:rsidRPr="00D6579F">
        <w:rPr>
          <w:rFonts w:ascii="Times New Roman" w:hAnsi="Times New Roman" w:cs="Times New Roman"/>
          <w:sz w:val="24"/>
          <w:szCs w:val="24"/>
          <w:lang w:val="bg-BG"/>
        </w:rPr>
        <w:t xml:space="preserve"> </w:t>
      </w:r>
      <w:r w:rsidR="003E2C82" w:rsidRPr="00D6579F">
        <w:rPr>
          <w:rFonts w:ascii="Times New Roman" w:hAnsi="Times New Roman" w:cs="Times New Roman"/>
          <w:sz w:val="24"/>
          <w:szCs w:val="24"/>
          <w:lang w:val="bg-BG"/>
        </w:rPr>
        <w:t>Трите най-високо оценени проекта от всяко звено предоставят резюме за постигнатите резултати, което се публикува на интернет страница</w:t>
      </w:r>
      <w:r w:rsidR="008C2D5B" w:rsidRPr="00D6579F">
        <w:rPr>
          <w:rFonts w:ascii="Times New Roman" w:hAnsi="Times New Roman" w:cs="Times New Roman"/>
          <w:sz w:val="24"/>
          <w:szCs w:val="24"/>
          <w:lang w:val="bg-BG"/>
        </w:rPr>
        <w:t>та на</w:t>
      </w:r>
      <w:r w:rsidR="003E2C82" w:rsidRPr="00D6579F">
        <w:rPr>
          <w:rFonts w:ascii="Times New Roman" w:hAnsi="Times New Roman" w:cs="Times New Roman"/>
          <w:sz w:val="24"/>
          <w:szCs w:val="24"/>
          <w:lang w:val="bg-BG"/>
        </w:rPr>
        <w:t xml:space="preserve"> Университета. </w:t>
      </w:r>
    </w:p>
    <w:p w:rsidR="00C528B8" w:rsidRPr="00D6579F" w:rsidRDefault="00C528B8" w:rsidP="00C528B8">
      <w:pPr>
        <w:ind w:left="360"/>
        <w:rPr>
          <w:rFonts w:ascii="Times New Roman" w:hAnsi="Times New Roman" w:cs="Times New Roman"/>
          <w:sz w:val="24"/>
          <w:szCs w:val="24"/>
          <w:lang w:val="bg-BG"/>
        </w:rPr>
      </w:pPr>
    </w:p>
    <w:sectPr w:rsidR="00C528B8" w:rsidRPr="00D6579F" w:rsidSect="005F1530">
      <w:pgSz w:w="12240" w:h="15840"/>
      <w:pgMar w:top="720" w:right="907"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DE" w:rsidRDefault="007C44DE" w:rsidP="000E328E">
      <w:pPr>
        <w:spacing w:after="0" w:line="240" w:lineRule="auto"/>
      </w:pPr>
      <w:r>
        <w:separator/>
      </w:r>
    </w:p>
  </w:endnote>
  <w:endnote w:type="continuationSeparator" w:id="0">
    <w:p w:rsidR="007C44DE" w:rsidRDefault="007C44DE" w:rsidP="000E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471699"/>
      <w:docPartObj>
        <w:docPartGallery w:val="Page Numbers (Bottom of Page)"/>
        <w:docPartUnique/>
      </w:docPartObj>
    </w:sdtPr>
    <w:sdtEndPr>
      <w:rPr>
        <w:rFonts w:ascii="Times New Roman" w:hAnsi="Times New Roman" w:cs="Times New Roman"/>
        <w:noProof/>
        <w:sz w:val="24"/>
        <w:szCs w:val="24"/>
      </w:rPr>
    </w:sdtEndPr>
    <w:sdtContent>
      <w:p w:rsidR="00D75CB2" w:rsidRPr="00D75CB2" w:rsidRDefault="00D75CB2">
        <w:pPr>
          <w:pStyle w:val="Footer"/>
          <w:jc w:val="right"/>
          <w:rPr>
            <w:rFonts w:ascii="Times New Roman" w:hAnsi="Times New Roman" w:cs="Times New Roman"/>
            <w:sz w:val="24"/>
            <w:szCs w:val="24"/>
          </w:rPr>
        </w:pPr>
        <w:r w:rsidRPr="00D75CB2">
          <w:rPr>
            <w:rFonts w:ascii="Times New Roman" w:hAnsi="Times New Roman" w:cs="Times New Roman"/>
            <w:sz w:val="24"/>
            <w:szCs w:val="24"/>
          </w:rPr>
          <w:fldChar w:fldCharType="begin"/>
        </w:r>
        <w:r w:rsidRPr="00D75CB2">
          <w:rPr>
            <w:rFonts w:ascii="Times New Roman" w:hAnsi="Times New Roman" w:cs="Times New Roman"/>
            <w:sz w:val="24"/>
            <w:szCs w:val="24"/>
          </w:rPr>
          <w:instrText xml:space="preserve"> PAGE   \* MERGEFORMAT </w:instrText>
        </w:r>
        <w:r w:rsidRPr="00D75CB2">
          <w:rPr>
            <w:rFonts w:ascii="Times New Roman" w:hAnsi="Times New Roman" w:cs="Times New Roman"/>
            <w:sz w:val="24"/>
            <w:szCs w:val="24"/>
          </w:rPr>
          <w:fldChar w:fldCharType="separate"/>
        </w:r>
        <w:r w:rsidR="00F07B45">
          <w:rPr>
            <w:rFonts w:ascii="Times New Roman" w:hAnsi="Times New Roman" w:cs="Times New Roman"/>
            <w:noProof/>
            <w:sz w:val="24"/>
            <w:szCs w:val="24"/>
          </w:rPr>
          <w:t>12</w:t>
        </w:r>
        <w:r w:rsidRPr="00D75CB2">
          <w:rPr>
            <w:rFonts w:ascii="Times New Roman" w:hAnsi="Times New Roman" w:cs="Times New Roman"/>
            <w:noProof/>
            <w:sz w:val="24"/>
            <w:szCs w:val="24"/>
          </w:rPr>
          <w:fldChar w:fldCharType="end"/>
        </w:r>
      </w:p>
    </w:sdtContent>
  </w:sdt>
  <w:p w:rsidR="00D75CB2" w:rsidRDefault="00D7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DE" w:rsidRDefault="007C44DE" w:rsidP="000E328E">
      <w:pPr>
        <w:spacing w:after="0" w:line="240" w:lineRule="auto"/>
      </w:pPr>
      <w:r>
        <w:separator/>
      </w:r>
    </w:p>
  </w:footnote>
  <w:footnote w:type="continuationSeparator" w:id="0">
    <w:p w:rsidR="007C44DE" w:rsidRDefault="007C44DE" w:rsidP="000E3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4664"/>
    <w:multiLevelType w:val="multilevel"/>
    <w:tmpl w:val="0A023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1F5B1B"/>
    <w:multiLevelType w:val="hybridMultilevel"/>
    <w:tmpl w:val="387C62A2"/>
    <w:lvl w:ilvl="0" w:tplc="D4A8E0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6B21"/>
    <w:multiLevelType w:val="multilevel"/>
    <w:tmpl w:val="4A6E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9775D"/>
    <w:multiLevelType w:val="hybridMultilevel"/>
    <w:tmpl w:val="0CEAD800"/>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0E93D3E"/>
    <w:multiLevelType w:val="hybridMultilevel"/>
    <w:tmpl w:val="643018C0"/>
    <w:lvl w:ilvl="0" w:tplc="D4A8E0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296EAE"/>
    <w:multiLevelType w:val="hybridMultilevel"/>
    <w:tmpl w:val="C9D234D6"/>
    <w:lvl w:ilvl="0" w:tplc="B362526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3081123F"/>
    <w:multiLevelType w:val="multilevel"/>
    <w:tmpl w:val="978A21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D36015"/>
    <w:multiLevelType w:val="hybridMultilevel"/>
    <w:tmpl w:val="D4A095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5005E79"/>
    <w:multiLevelType w:val="multilevel"/>
    <w:tmpl w:val="1CD0DB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5"/>
  </w:num>
  <w:num w:numId="4">
    <w:abstractNumId w:val="6"/>
  </w:num>
  <w:num w:numId="5">
    <w:abstractNumId w:val="1"/>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92"/>
    <w:rsid w:val="000215D1"/>
    <w:rsid w:val="00026229"/>
    <w:rsid w:val="00066EBA"/>
    <w:rsid w:val="000A4A10"/>
    <w:rsid w:val="000A607D"/>
    <w:rsid w:val="000A7DAF"/>
    <w:rsid w:val="000E2399"/>
    <w:rsid w:val="000E328E"/>
    <w:rsid w:val="000F15F6"/>
    <w:rsid w:val="000F65B1"/>
    <w:rsid w:val="00137ED0"/>
    <w:rsid w:val="001A3131"/>
    <w:rsid w:val="001C5D5B"/>
    <w:rsid w:val="00216E9D"/>
    <w:rsid w:val="002172D2"/>
    <w:rsid w:val="00292180"/>
    <w:rsid w:val="002F1695"/>
    <w:rsid w:val="003315BE"/>
    <w:rsid w:val="00341C30"/>
    <w:rsid w:val="00391E5F"/>
    <w:rsid w:val="003C604B"/>
    <w:rsid w:val="003E2C82"/>
    <w:rsid w:val="003F41D0"/>
    <w:rsid w:val="003F6C3A"/>
    <w:rsid w:val="00402DE7"/>
    <w:rsid w:val="00415BF0"/>
    <w:rsid w:val="004642A2"/>
    <w:rsid w:val="00465A2E"/>
    <w:rsid w:val="00494F8C"/>
    <w:rsid w:val="004D3AD7"/>
    <w:rsid w:val="00512E67"/>
    <w:rsid w:val="005378BA"/>
    <w:rsid w:val="00587D92"/>
    <w:rsid w:val="005F1530"/>
    <w:rsid w:val="00602B11"/>
    <w:rsid w:val="006213F2"/>
    <w:rsid w:val="006463D9"/>
    <w:rsid w:val="0065196F"/>
    <w:rsid w:val="00671913"/>
    <w:rsid w:val="00684DC3"/>
    <w:rsid w:val="0071041F"/>
    <w:rsid w:val="0075582F"/>
    <w:rsid w:val="0076328C"/>
    <w:rsid w:val="00785C29"/>
    <w:rsid w:val="007A2072"/>
    <w:rsid w:val="007B0022"/>
    <w:rsid w:val="007B49E8"/>
    <w:rsid w:val="007B7B78"/>
    <w:rsid w:val="007C42FA"/>
    <w:rsid w:val="007C44DE"/>
    <w:rsid w:val="007D7914"/>
    <w:rsid w:val="00816174"/>
    <w:rsid w:val="0081700A"/>
    <w:rsid w:val="008459E5"/>
    <w:rsid w:val="00854F2C"/>
    <w:rsid w:val="0089618B"/>
    <w:rsid w:val="008C2D5B"/>
    <w:rsid w:val="008D72A8"/>
    <w:rsid w:val="008E379A"/>
    <w:rsid w:val="008F287B"/>
    <w:rsid w:val="00905BBC"/>
    <w:rsid w:val="00914857"/>
    <w:rsid w:val="00A04B2A"/>
    <w:rsid w:val="00A566B3"/>
    <w:rsid w:val="00AB3D1D"/>
    <w:rsid w:val="00AC6DEB"/>
    <w:rsid w:val="00AD00EE"/>
    <w:rsid w:val="00AE19E2"/>
    <w:rsid w:val="00AE7E71"/>
    <w:rsid w:val="00AF4B3F"/>
    <w:rsid w:val="00B22DC9"/>
    <w:rsid w:val="00B374ED"/>
    <w:rsid w:val="00B37C24"/>
    <w:rsid w:val="00B41280"/>
    <w:rsid w:val="00B51722"/>
    <w:rsid w:val="00B6635E"/>
    <w:rsid w:val="00B85DDA"/>
    <w:rsid w:val="00B861CC"/>
    <w:rsid w:val="00B95ADD"/>
    <w:rsid w:val="00BC7F46"/>
    <w:rsid w:val="00BE05C8"/>
    <w:rsid w:val="00BE4C1C"/>
    <w:rsid w:val="00BE61E5"/>
    <w:rsid w:val="00BF0142"/>
    <w:rsid w:val="00C03D88"/>
    <w:rsid w:val="00C23804"/>
    <w:rsid w:val="00C30A26"/>
    <w:rsid w:val="00C528B8"/>
    <w:rsid w:val="00C52C81"/>
    <w:rsid w:val="00CB6FE6"/>
    <w:rsid w:val="00CD2FE7"/>
    <w:rsid w:val="00CF0CC8"/>
    <w:rsid w:val="00CF4816"/>
    <w:rsid w:val="00D22241"/>
    <w:rsid w:val="00D244B7"/>
    <w:rsid w:val="00D26547"/>
    <w:rsid w:val="00D26A2C"/>
    <w:rsid w:val="00D2705C"/>
    <w:rsid w:val="00D61DDC"/>
    <w:rsid w:val="00D6579F"/>
    <w:rsid w:val="00D75CB2"/>
    <w:rsid w:val="00DC273F"/>
    <w:rsid w:val="00DE7725"/>
    <w:rsid w:val="00E139DA"/>
    <w:rsid w:val="00E33926"/>
    <w:rsid w:val="00E658A3"/>
    <w:rsid w:val="00E857AD"/>
    <w:rsid w:val="00EE5904"/>
    <w:rsid w:val="00F07B45"/>
    <w:rsid w:val="00F16DC7"/>
    <w:rsid w:val="00F57C45"/>
    <w:rsid w:val="00F66EB6"/>
    <w:rsid w:val="00F75373"/>
    <w:rsid w:val="00F77851"/>
    <w:rsid w:val="00F91DC1"/>
    <w:rsid w:val="00F96CEC"/>
    <w:rsid w:val="00FA2635"/>
    <w:rsid w:val="00FA6D0E"/>
    <w:rsid w:val="00FC0B38"/>
    <w:rsid w:val="00FC4EAC"/>
    <w:rsid w:val="00FF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B6851-4C93-4556-971E-857A3EBF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44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73F"/>
    <w:rPr>
      <w:color w:val="0563C1" w:themeColor="hyperlink"/>
      <w:u w:val="single"/>
    </w:rPr>
  </w:style>
  <w:style w:type="table" w:styleId="TableGrid">
    <w:name w:val="Table Grid"/>
    <w:basedOn w:val="TableNormal"/>
    <w:uiPriority w:val="39"/>
    <w:rsid w:val="00DC2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10"/>
    <w:rPr>
      <w:rFonts w:ascii="Segoe UI" w:hAnsi="Segoe UI" w:cs="Segoe UI"/>
      <w:sz w:val="18"/>
      <w:szCs w:val="18"/>
    </w:rPr>
  </w:style>
  <w:style w:type="paragraph" w:styleId="ListParagraph">
    <w:name w:val="List Paragraph"/>
    <w:basedOn w:val="Normal"/>
    <w:uiPriority w:val="34"/>
    <w:qFormat/>
    <w:rsid w:val="008F287B"/>
    <w:pPr>
      <w:ind w:left="720"/>
      <w:contextualSpacing/>
    </w:pPr>
  </w:style>
  <w:style w:type="paragraph" w:styleId="Header">
    <w:name w:val="header"/>
    <w:basedOn w:val="Normal"/>
    <w:link w:val="HeaderChar"/>
    <w:uiPriority w:val="99"/>
    <w:unhideWhenUsed/>
    <w:rsid w:val="000E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28E"/>
  </w:style>
  <w:style w:type="paragraph" w:styleId="Footer">
    <w:name w:val="footer"/>
    <w:basedOn w:val="Normal"/>
    <w:link w:val="FooterChar"/>
    <w:uiPriority w:val="99"/>
    <w:unhideWhenUsed/>
    <w:rsid w:val="000E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28E"/>
  </w:style>
  <w:style w:type="character" w:customStyle="1" w:styleId="Heading1Char">
    <w:name w:val="Heading 1 Char"/>
    <w:basedOn w:val="DefaultParagraphFont"/>
    <w:link w:val="Heading1"/>
    <w:uiPriority w:val="9"/>
    <w:rsid w:val="00D244B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244B7"/>
    <w:pPr>
      <w:outlineLvl w:val="9"/>
    </w:pPr>
  </w:style>
  <w:style w:type="paragraph" w:styleId="TOC1">
    <w:name w:val="toc 1"/>
    <w:basedOn w:val="Normal"/>
    <w:next w:val="Normal"/>
    <w:autoRedefine/>
    <w:uiPriority w:val="39"/>
    <w:unhideWhenUsed/>
    <w:rsid w:val="00D244B7"/>
    <w:pPr>
      <w:spacing w:after="100"/>
    </w:pPr>
  </w:style>
  <w:style w:type="paragraph" w:styleId="NoSpacing">
    <w:name w:val="No Spacing"/>
    <w:link w:val="NoSpacingChar"/>
    <w:uiPriority w:val="1"/>
    <w:qFormat/>
    <w:rsid w:val="00BE61E5"/>
    <w:pPr>
      <w:spacing w:after="0" w:line="240" w:lineRule="auto"/>
    </w:pPr>
    <w:rPr>
      <w:rFonts w:eastAsiaTheme="minorEastAsia"/>
    </w:rPr>
  </w:style>
  <w:style w:type="character" w:customStyle="1" w:styleId="NoSpacingChar">
    <w:name w:val="No Spacing Char"/>
    <w:basedOn w:val="DefaultParagraphFont"/>
    <w:link w:val="NoSpacing"/>
    <w:uiPriority w:val="1"/>
    <w:rsid w:val="00BE61E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6722">
      <w:bodyDiv w:val="1"/>
      <w:marLeft w:val="0"/>
      <w:marRight w:val="0"/>
      <w:marTop w:val="0"/>
      <w:marBottom w:val="0"/>
      <w:divBdr>
        <w:top w:val="none" w:sz="0" w:space="0" w:color="auto"/>
        <w:left w:val="none" w:sz="0" w:space="0" w:color="auto"/>
        <w:bottom w:val="none" w:sz="0" w:space="0" w:color="auto"/>
        <w:right w:val="none" w:sz="0" w:space="0" w:color="auto"/>
      </w:divBdr>
    </w:div>
    <w:div w:id="377902732">
      <w:bodyDiv w:val="1"/>
      <w:marLeft w:val="0"/>
      <w:marRight w:val="0"/>
      <w:marTop w:val="0"/>
      <w:marBottom w:val="0"/>
      <w:divBdr>
        <w:top w:val="none" w:sz="0" w:space="0" w:color="auto"/>
        <w:left w:val="none" w:sz="0" w:space="0" w:color="auto"/>
        <w:bottom w:val="none" w:sz="0" w:space="0" w:color="auto"/>
        <w:right w:val="none" w:sz="0" w:space="0" w:color="auto"/>
      </w:divBdr>
    </w:div>
    <w:div w:id="649408885">
      <w:bodyDiv w:val="1"/>
      <w:marLeft w:val="0"/>
      <w:marRight w:val="0"/>
      <w:marTop w:val="0"/>
      <w:marBottom w:val="0"/>
      <w:divBdr>
        <w:top w:val="none" w:sz="0" w:space="0" w:color="auto"/>
        <w:left w:val="none" w:sz="0" w:space="0" w:color="auto"/>
        <w:bottom w:val="none" w:sz="0" w:space="0" w:color="auto"/>
        <w:right w:val="none" w:sz="0" w:space="0" w:color="auto"/>
      </w:divBdr>
    </w:div>
    <w:div w:id="902251983">
      <w:bodyDiv w:val="1"/>
      <w:marLeft w:val="0"/>
      <w:marRight w:val="0"/>
      <w:marTop w:val="0"/>
      <w:marBottom w:val="0"/>
      <w:divBdr>
        <w:top w:val="none" w:sz="0" w:space="0" w:color="auto"/>
        <w:left w:val="none" w:sz="0" w:space="0" w:color="auto"/>
        <w:bottom w:val="none" w:sz="0" w:space="0" w:color="auto"/>
        <w:right w:val="none" w:sz="0" w:space="0" w:color="auto"/>
      </w:divBdr>
    </w:div>
    <w:div w:id="1087075846">
      <w:bodyDiv w:val="1"/>
      <w:marLeft w:val="0"/>
      <w:marRight w:val="0"/>
      <w:marTop w:val="0"/>
      <w:marBottom w:val="0"/>
      <w:divBdr>
        <w:top w:val="none" w:sz="0" w:space="0" w:color="auto"/>
        <w:left w:val="none" w:sz="0" w:space="0" w:color="auto"/>
        <w:bottom w:val="none" w:sz="0" w:space="0" w:color="auto"/>
        <w:right w:val="none" w:sz="0" w:space="0" w:color="auto"/>
      </w:divBdr>
    </w:div>
    <w:div w:id="1115828831">
      <w:bodyDiv w:val="1"/>
      <w:marLeft w:val="0"/>
      <w:marRight w:val="0"/>
      <w:marTop w:val="0"/>
      <w:marBottom w:val="0"/>
      <w:divBdr>
        <w:top w:val="none" w:sz="0" w:space="0" w:color="auto"/>
        <w:left w:val="none" w:sz="0" w:space="0" w:color="auto"/>
        <w:bottom w:val="none" w:sz="0" w:space="0" w:color="auto"/>
        <w:right w:val="none" w:sz="0" w:space="0" w:color="auto"/>
      </w:divBdr>
    </w:div>
    <w:div w:id="1390616671">
      <w:bodyDiv w:val="1"/>
      <w:marLeft w:val="0"/>
      <w:marRight w:val="0"/>
      <w:marTop w:val="0"/>
      <w:marBottom w:val="0"/>
      <w:divBdr>
        <w:top w:val="none" w:sz="0" w:space="0" w:color="auto"/>
        <w:left w:val="none" w:sz="0" w:space="0" w:color="auto"/>
        <w:bottom w:val="none" w:sz="0" w:space="0" w:color="auto"/>
        <w:right w:val="none" w:sz="0" w:space="0" w:color="auto"/>
      </w:divBdr>
    </w:div>
    <w:div w:id="1733650009">
      <w:bodyDiv w:val="1"/>
      <w:marLeft w:val="0"/>
      <w:marRight w:val="0"/>
      <w:marTop w:val="0"/>
      <w:marBottom w:val="0"/>
      <w:divBdr>
        <w:top w:val="none" w:sz="0" w:space="0" w:color="auto"/>
        <w:left w:val="none" w:sz="0" w:space="0" w:color="auto"/>
        <w:bottom w:val="none" w:sz="0" w:space="0" w:color="auto"/>
        <w:right w:val="none" w:sz="0" w:space="0" w:color="auto"/>
      </w:divBdr>
    </w:div>
    <w:div w:id="20177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ofia.bg/index.php/bul/universitet_t/administrativna_struktura/dokumenti_na_su/obrazci_na_dokumenti" TargetMode="External"/><Relationship Id="rId5" Type="http://schemas.openxmlformats.org/officeDocument/2006/relationships/webSettings" Target="webSettings.xml"/><Relationship Id="rId10" Type="http://schemas.openxmlformats.org/officeDocument/2006/relationships/hyperlink" Target="mailto:npd@admin.uni-sofia.bg" TargetMode="External"/><Relationship Id="rId4" Type="http://schemas.openxmlformats.org/officeDocument/2006/relationships/settings" Target="settings.xml"/><Relationship Id="rId9" Type="http://schemas.openxmlformats.org/officeDocument/2006/relationships/hyperlink" Target="http://eservices.uni-sofia.bg/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74132-61E3-4906-B1C2-5D242922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13</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Насоки за кандидатстване, изпълнение и отчитане на проектите, финансирани целево от държавния бюджет</vt:lpstr>
    </vt:vector>
  </TitlesOfParts>
  <Company/>
  <LinksUpToDate>false</LinksUpToDate>
  <CharactersWithSpaces>25805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Насоки за кандидатстване, изпълнение и отчитане на проектите, финансирани целево от държавния бюджет</dc:title>
  <dc:subject/>
  <dc:creator>centre of exellence</dc:creator>
  <cp:keywords/>
  <dc:description/>
  <cp:lastModifiedBy>centre of exellence</cp:lastModifiedBy>
  <cp:revision>88</cp:revision>
  <dcterms:created xsi:type="dcterms:W3CDTF">2020-03-06T12:44:00Z</dcterms:created>
  <dcterms:modified xsi:type="dcterms:W3CDTF">2021-01-28T11:10:00Z</dcterms:modified>
</cp:coreProperties>
</file>