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5E84" w14:textId="4D9ADBB7" w:rsidR="00F85142" w:rsidRDefault="007F71FB" w:rsidP="007F71FB">
      <w:pPr>
        <w:jc w:val="center"/>
      </w:pPr>
      <w:bookmarkStart w:id="0" w:name="_GoBack"/>
      <w:bookmarkEnd w:id="0"/>
      <w:r>
        <w:t xml:space="preserve">S U B M I S </w:t>
      </w:r>
      <w:r w:rsidR="006954AF">
        <w:t xml:space="preserve">S </w:t>
      </w:r>
      <w:r>
        <w:t>I O N</w:t>
      </w:r>
      <w:r w:rsidR="006954AF">
        <w:t xml:space="preserve"> </w:t>
      </w:r>
    </w:p>
    <w:p w14:paraId="5F36D22F" w14:textId="769FEA51" w:rsidR="007F71FB" w:rsidRDefault="007F71FB" w:rsidP="007F71FB">
      <w:pPr>
        <w:jc w:val="center"/>
      </w:pPr>
      <w:r>
        <w:t>by Prof. Mira Kovatcheva, PhD (Sofia University)</w:t>
      </w:r>
    </w:p>
    <w:p w14:paraId="6FED0C3A" w14:textId="73FAEF00" w:rsidR="007F71FB" w:rsidRDefault="007F71FB" w:rsidP="007F71FB">
      <w:pPr>
        <w:jc w:val="center"/>
      </w:pPr>
    </w:p>
    <w:p w14:paraId="7CAFBC6C" w14:textId="193970A3" w:rsidR="007F71FB" w:rsidRDefault="007F71FB" w:rsidP="007F71FB">
      <w:pPr>
        <w:jc w:val="center"/>
      </w:pPr>
      <w:r>
        <w:t xml:space="preserve">concerning the </w:t>
      </w:r>
      <w:r w:rsidR="00EB0380">
        <w:t>scientific publications of Dr. Guergana Furkova,</w:t>
      </w:r>
    </w:p>
    <w:p w14:paraId="4BA2CDFE" w14:textId="77050925" w:rsidR="00EB0380" w:rsidRDefault="00EB0380" w:rsidP="007F71FB">
      <w:pPr>
        <w:jc w:val="center"/>
      </w:pPr>
      <w:r>
        <w:t xml:space="preserve">only candidate in the </w:t>
      </w:r>
      <w:bookmarkStart w:id="1" w:name="_Hlk50372955"/>
      <w:r>
        <w:t xml:space="preserve">selection procedure </w:t>
      </w:r>
      <w:bookmarkEnd w:id="1"/>
      <w:r>
        <w:t xml:space="preserve">for Associate Professor </w:t>
      </w:r>
      <w:r w:rsidR="006954AF">
        <w:t>(</w:t>
      </w:r>
      <w:r>
        <w:t xml:space="preserve">2.1. Philology (Applied Linguistics – German for </w:t>
      </w:r>
      <w:r w:rsidR="006954AF">
        <w:t xml:space="preserve">Economic Purposes and Business Communication), </w:t>
      </w:r>
    </w:p>
    <w:p w14:paraId="173CD704" w14:textId="14F793CD" w:rsidR="006954AF" w:rsidRDefault="006954AF" w:rsidP="007F71FB">
      <w:pPr>
        <w:jc w:val="center"/>
        <w:rPr>
          <w:rStyle w:val="fontstyle01"/>
        </w:rPr>
      </w:pPr>
      <w:r>
        <w:t>announced in State Gazette No.</w:t>
      </w:r>
      <w:r>
        <w:rPr>
          <w:rStyle w:val="fontstyle01"/>
        </w:rPr>
        <w:t>21/13.03.2020</w:t>
      </w:r>
    </w:p>
    <w:p w14:paraId="78EDED18" w14:textId="5AADB8D0" w:rsidR="006954AF" w:rsidRDefault="006954AF" w:rsidP="006954AF">
      <w:pPr>
        <w:rPr>
          <w:rStyle w:val="fontstyle01"/>
        </w:rPr>
      </w:pPr>
    </w:p>
    <w:p w14:paraId="1D86B532" w14:textId="03FE395A" w:rsidR="006954AF" w:rsidRDefault="006954AF" w:rsidP="006954AF">
      <w:pPr>
        <w:spacing w:line="240" w:lineRule="auto"/>
        <w:ind w:left="284" w:firstLine="424"/>
        <w:jc w:val="both"/>
        <w:rPr>
          <w:rStyle w:val="fontstyle01"/>
        </w:rPr>
      </w:pPr>
      <w:r>
        <w:rPr>
          <w:rStyle w:val="fontstyle01"/>
        </w:rPr>
        <w:t xml:space="preserve">The candidate Dr. </w:t>
      </w:r>
      <w:r>
        <w:t>Furkova</w:t>
      </w:r>
      <w:r>
        <w:rPr>
          <w:rStyle w:val="fontstyle01"/>
        </w:rPr>
        <w:t xml:space="preserve"> has a 25-year experience as a teacher of </w:t>
      </w:r>
      <w:r>
        <w:t>German for Economic Purposes and Business Communication</w:t>
      </w:r>
      <w:r>
        <w:rPr>
          <w:rStyle w:val="fontstyle01"/>
        </w:rPr>
        <w:t xml:space="preserve"> </w:t>
      </w:r>
      <w:r w:rsidR="00A11BB6">
        <w:rPr>
          <w:rStyle w:val="fontstyle01"/>
        </w:rPr>
        <w:t>at Sofia University as well as for various companies. She defended her PhD thesis in</w:t>
      </w:r>
      <w:r>
        <w:rPr>
          <w:rStyle w:val="fontstyle01"/>
        </w:rPr>
        <w:t xml:space="preserve"> 2016</w:t>
      </w:r>
      <w:r w:rsidR="00A11BB6">
        <w:rPr>
          <w:rStyle w:val="fontstyle01"/>
        </w:rPr>
        <w:t xml:space="preserve"> titled</w:t>
      </w:r>
      <w:r>
        <w:rPr>
          <w:rStyle w:val="fontstyle01"/>
        </w:rPr>
        <w:t xml:space="preserve"> </w:t>
      </w:r>
      <w:r w:rsidRPr="008F01F1">
        <w:t>“</w:t>
      </w:r>
      <w:r w:rsidR="00A11BB6">
        <w:t>Linguistic, paralinguistic and culturally specific dimensions of Bulgarian-German communication in a business environment</w:t>
      </w:r>
      <w:r w:rsidRPr="008F01F1">
        <w:t xml:space="preserve">”. </w:t>
      </w:r>
      <w:r w:rsidR="00A11BB6">
        <w:rPr>
          <w:rStyle w:val="fontstyle01"/>
        </w:rPr>
        <w:t>She is principal assistant reader from</w:t>
      </w:r>
      <w:r w:rsidRPr="008F01F1">
        <w:rPr>
          <w:rStyle w:val="fontstyle01"/>
        </w:rPr>
        <w:t xml:space="preserve"> 2020 (</w:t>
      </w:r>
      <w:r w:rsidR="00A11BB6">
        <w:rPr>
          <w:rStyle w:val="fontstyle01"/>
        </w:rPr>
        <w:t>no department is mentioned</w:t>
      </w:r>
      <w:r>
        <w:rPr>
          <w:rStyle w:val="fontstyle01"/>
        </w:rPr>
        <w:t xml:space="preserve">). </w:t>
      </w:r>
      <w:r w:rsidR="00A11BB6">
        <w:rPr>
          <w:rStyle w:val="fontstyle01"/>
        </w:rPr>
        <w:t xml:space="preserve">She is the author of an impressive number of articles in scientific journals/collections and in the press. She has authored a dictionary and has taken part in the preparation of other 3 and has translated a great number of literary works. She keeps a high profile in the field of intercultural relations which shows her genuine interest </w:t>
      </w:r>
      <w:r w:rsidR="003A1883">
        <w:rPr>
          <w:rStyle w:val="fontstyle01"/>
        </w:rPr>
        <w:t>in</w:t>
      </w:r>
      <w:r w:rsidR="00A11BB6">
        <w:rPr>
          <w:rStyle w:val="fontstyle01"/>
        </w:rPr>
        <w:t xml:space="preserve"> this subject matter. </w:t>
      </w:r>
    </w:p>
    <w:p w14:paraId="53E21089" w14:textId="77777777" w:rsidR="006954AF" w:rsidRDefault="006954AF" w:rsidP="006954AF">
      <w:pPr>
        <w:spacing w:line="240" w:lineRule="auto"/>
        <w:ind w:left="284" w:hanging="284"/>
        <w:jc w:val="both"/>
        <w:rPr>
          <w:rStyle w:val="fontstyle01"/>
        </w:rPr>
      </w:pPr>
    </w:p>
    <w:p w14:paraId="22A13BA7" w14:textId="124AB28E" w:rsidR="006954AF" w:rsidRDefault="00A11BB6" w:rsidP="006954AF">
      <w:pPr>
        <w:spacing w:line="240" w:lineRule="auto"/>
        <w:ind w:left="284" w:firstLine="424"/>
        <w:jc w:val="both"/>
        <w:rPr>
          <w:rStyle w:val="fontstyle01"/>
        </w:rPr>
      </w:pPr>
      <w:r>
        <w:rPr>
          <w:rStyle w:val="fontstyle01"/>
        </w:rPr>
        <w:t xml:space="preserve">For the present selection procedure Dr. </w:t>
      </w:r>
      <w:r>
        <w:t>Furkova</w:t>
      </w:r>
      <w:r>
        <w:rPr>
          <w:rStyle w:val="fontstyle01"/>
        </w:rPr>
        <w:t xml:space="preserve"> has submitted</w:t>
      </w:r>
      <w:r w:rsidR="00FB5438">
        <w:rPr>
          <w:rStyle w:val="fontstyle01"/>
        </w:rPr>
        <w:t xml:space="preserve"> the book </w:t>
      </w:r>
      <w:r w:rsidR="003A1883">
        <w:rPr>
          <w:rStyle w:val="fontstyle01"/>
          <w:i/>
          <w:iCs/>
        </w:rPr>
        <w:t>L</w:t>
      </w:r>
      <w:r w:rsidR="00FB5438" w:rsidRPr="0061744F">
        <w:rPr>
          <w:rStyle w:val="fontstyle01"/>
          <w:i/>
          <w:iCs/>
        </w:rPr>
        <w:t>anguage of the advertising slogan. German-Bulgarian parallels</w:t>
      </w:r>
      <w:r w:rsidR="00FB5438">
        <w:rPr>
          <w:rStyle w:val="fontstyle01"/>
        </w:rPr>
        <w:t xml:space="preserve"> (FunTasy 2018), together with </w:t>
      </w:r>
      <w:r w:rsidR="006954AF">
        <w:rPr>
          <w:rStyle w:val="fontstyle01"/>
        </w:rPr>
        <w:t xml:space="preserve">5 </w:t>
      </w:r>
      <w:r w:rsidR="00FB5438">
        <w:rPr>
          <w:rStyle w:val="fontstyle01"/>
        </w:rPr>
        <w:t>articles</w:t>
      </w:r>
      <w:r w:rsidR="006954AF">
        <w:rPr>
          <w:rStyle w:val="fontstyle01"/>
        </w:rPr>
        <w:t xml:space="preserve">, </w:t>
      </w:r>
      <w:r w:rsidR="00FB5438">
        <w:rPr>
          <w:rStyle w:val="fontstyle01"/>
        </w:rPr>
        <w:t>one longer study and</w:t>
      </w:r>
      <w:r w:rsidR="006954AF">
        <w:rPr>
          <w:rStyle w:val="fontstyle01"/>
        </w:rPr>
        <w:t xml:space="preserve"> 4 </w:t>
      </w:r>
      <w:r w:rsidR="00FB5438">
        <w:rPr>
          <w:rStyle w:val="fontstyle01"/>
        </w:rPr>
        <w:t>dictionaries</w:t>
      </w:r>
      <w:r w:rsidR="006954AF">
        <w:rPr>
          <w:rStyle w:val="fontstyle01"/>
        </w:rPr>
        <w:t xml:space="preserve"> –</w:t>
      </w:r>
      <w:r w:rsidR="003A1883">
        <w:rPr>
          <w:rStyle w:val="fontstyle01"/>
        </w:rPr>
        <w:t xml:space="preserve"> </w:t>
      </w:r>
      <w:r w:rsidR="006954AF">
        <w:rPr>
          <w:rStyle w:val="fontstyle01"/>
        </w:rPr>
        <w:t xml:space="preserve">11 </w:t>
      </w:r>
      <w:r w:rsidR="00FB5438">
        <w:rPr>
          <w:rStyle w:val="fontstyle01"/>
        </w:rPr>
        <w:t>publications all in all</w:t>
      </w:r>
      <w:r w:rsidR="006954AF">
        <w:rPr>
          <w:rStyle w:val="fontstyle01"/>
        </w:rPr>
        <w:t xml:space="preserve">. </w:t>
      </w:r>
      <w:r w:rsidR="00FB5438">
        <w:rPr>
          <w:rStyle w:val="fontstyle01"/>
        </w:rPr>
        <w:t>Six of them deal with problems of communication, one discusses the cultural stereotypes linked to sex and fashion.</w:t>
      </w:r>
      <w:r w:rsidR="006954AF">
        <w:rPr>
          <w:rStyle w:val="fontstyle01"/>
        </w:rPr>
        <w:t xml:space="preserve"> </w:t>
      </w:r>
      <w:r w:rsidR="00FB5438">
        <w:rPr>
          <w:rStyle w:val="fontstyle01"/>
        </w:rPr>
        <w:t xml:space="preserve">The assumption is that if </w:t>
      </w:r>
      <w:r w:rsidR="007D00E1">
        <w:rPr>
          <w:rStyle w:val="fontstyle01"/>
        </w:rPr>
        <w:t xml:space="preserve">the discussion touches upon language and communication the general field is Applied Linguistics </w:t>
      </w:r>
      <w:r w:rsidR="0061744F">
        <w:rPr>
          <w:rStyle w:val="fontstyle01"/>
        </w:rPr>
        <w:t>–</w:t>
      </w:r>
      <w:r w:rsidR="006954AF">
        <w:rPr>
          <w:rStyle w:val="fontstyle01"/>
        </w:rPr>
        <w:t xml:space="preserve"> </w:t>
      </w:r>
      <w:r w:rsidR="007124FA">
        <w:rPr>
          <w:rStyle w:val="fontstyle01"/>
        </w:rPr>
        <w:t xml:space="preserve">the focus of the present </w:t>
      </w:r>
      <w:r w:rsidR="0061744F">
        <w:t>selection procedure</w:t>
      </w:r>
      <w:r w:rsidR="006954AF">
        <w:rPr>
          <w:rStyle w:val="fontstyle01"/>
        </w:rPr>
        <w:t>.</w:t>
      </w:r>
    </w:p>
    <w:p w14:paraId="1E7A2E04" w14:textId="77777777" w:rsidR="006954AF" w:rsidRDefault="006954AF" w:rsidP="006954AF">
      <w:pPr>
        <w:spacing w:line="240" w:lineRule="auto"/>
        <w:ind w:left="284" w:hanging="284"/>
        <w:jc w:val="both"/>
        <w:rPr>
          <w:rStyle w:val="fontstyle01"/>
        </w:rPr>
      </w:pPr>
    </w:p>
    <w:p w14:paraId="504419B5" w14:textId="20F4E79E" w:rsidR="006954AF" w:rsidRDefault="0061744F" w:rsidP="006954AF">
      <w:pPr>
        <w:spacing w:line="240" w:lineRule="auto"/>
        <w:ind w:left="284" w:firstLine="424"/>
        <w:jc w:val="both"/>
        <w:outlineLvl w:val="1"/>
        <w:rPr>
          <w:rFonts w:eastAsia="Times New Roman"/>
        </w:rPr>
      </w:pPr>
      <w:r>
        <w:rPr>
          <w:rFonts w:eastAsia="Times New Roman"/>
        </w:rPr>
        <w:t>Still item</w:t>
      </w:r>
      <w:r w:rsidR="006954AF">
        <w:rPr>
          <w:rFonts w:eastAsia="Times New Roman"/>
        </w:rPr>
        <w:t xml:space="preserve"> №3 </w:t>
      </w:r>
      <w:r w:rsidRPr="0061744F">
        <w:rPr>
          <w:rFonts w:eastAsia="Times New Roman"/>
          <w:i/>
          <w:iCs/>
        </w:rPr>
        <w:t xml:space="preserve">Sex and </w:t>
      </w:r>
      <w:r w:rsidRPr="0061744F">
        <w:rPr>
          <w:rStyle w:val="fontstyle01"/>
          <w:i/>
          <w:iCs/>
        </w:rPr>
        <w:t>cultural stereotypes in fashion</w:t>
      </w:r>
      <w:r w:rsidR="006954AF">
        <w:rPr>
          <w:rFonts w:eastAsia="Times New Roman"/>
        </w:rPr>
        <w:t xml:space="preserve"> </w:t>
      </w:r>
      <w:r>
        <w:rPr>
          <w:rFonts w:eastAsia="Times New Roman"/>
        </w:rPr>
        <w:t xml:space="preserve">can hardly be included in the scope of </w:t>
      </w:r>
      <w:bookmarkStart w:id="2" w:name="_Hlk50373346"/>
      <w:r>
        <w:rPr>
          <w:rStyle w:val="fontstyle01"/>
        </w:rPr>
        <w:t xml:space="preserve">Applied Linguistics </w:t>
      </w:r>
      <w:bookmarkEnd w:id="2"/>
      <w:r>
        <w:rPr>
          <w:rStyle w:val="fontstyle01"/>
        </w:rPr>
        <w:t>and will not be considered</w:t>
      </w:r>
      <w:r w:rsidR="006954AF">
        <w:rPr>
          <w:rFonts w:eastAsia="Times New Roman"/>
        </w:rPr>
        <w:t xml:space="preserve">. </w:t>
      </w:r>
      <w:r>
        <w:rPr>
          <w:rStyle w:val="fontstyle01"/>
        </w:rPr>
        <w:t xml:space="preserve">Dr. </w:t>
      </w:r>
      <w:r>
        <w:t>Furkova</w:t>
      </w:r>
      <w:r>
        <w:rPr>
          <w:rStyle w:val="fontstyle01"/>
        </w:rPr>
        <w:t xml:space="preserve"> emphasizes the interdisciplinarity of Applied Linguistics </w:t>
      </w:r>
      <w:r w:rsidR="006954AF">
        <w:rPr>
          <w:rFonts w:eastAsia="Times New Roman"/>
        </w:rPr>
        <w:t xml:space="preserve">(№1, </w:t>
      </w:r>
      <w:r>
        <w:rPr>
          <w:rFonts w:eastAsia="Times New Roman"/>
        </w:rPr>
        <w:t>p</w:t>
      </w:r>
      <w:r w:rsidR="006954AF">
        <w:rPr>
          <w:rFonts w:eastAsia="Times New Roman"/>
        </w:rPr>
        <w:t>. 12</w:t>
      </w:r>
      <w:r>
        <w:rPr>
          <w:rFonts w:eastAsia="Times New Roman"/>
        </w:rPr>
        <w:t>)</w:t>
      </w:r>
      <w:r w:rsidR="006954AF">
        <w:rPr>
          <w:rFonts w:eastAsia="Times New Roman"/>
        </w:rPr>
        <w:t xml:space="preserve">. </w:t>
      </w:r>
      <w:r>
        <w:rPr>
          <w:rFonts w:eastAsia="Times New Roman"/>
        </w:rPr>
        <w:t>However, the analytical methods used</w:t>
      </w:r>
      <w:r w:rsidR="006C7FC9">
        <w:rPr>
          <w:rFonts w:eastAsia="Times New Roman"/>
        </w:rPr>
        <w:t xml:space="preserve"> are determined by the concrete aspect of the problem – whether the focus </w:t>
      </w:r>
      <w:r w:rsidR="003A1883">
        <w:rPr>
          <w:rFonts w:eastAsia="Times New Roman"/>
        </w:rPr>
        <w:t xml:space="preserve">is </w:t>
      </w:r>
      <w:r w:rsidR="006C7FC9">
        <w:rPr>
          <w:rFonts w:eastAsia="Times New Roman"/>
        </w:rPr>
        <w:t xml:space="preserve">on the socio-cultural, psychological, cognitive, the content, formal or functional aspect of the usage vis-a-vis its goal. </w:t>
      </w:r>
      <w:r w:rsidR="00D31B82">
        <w:rPr>
          <w:rFonts w:eastAsia="Times New Roman"/>
        </w:rPr>
        <w:t xml:space="preserve">At present there is no consensus on the question whether </w:t>
      </w:r>
      <w:r w:rsidR="00D31B82">
        <w:rPr>
          <w:rStyle w:val="fontstyle01"/>
        </w:rPr>
        <w:t>Applied Linguistics can be considered as one academic discipline or a few related disciplines</w:t>
      </w:r>
      <w:r w:rsidR="006954AF">
        <w:rPr>
          <w:rStyle w:val="FootnoteReference"/>
          <w:rFonts w:eastAsia="Times New Roman"/>
        </w:rPr>
        <w:footnoteReference w:id="1"/>
      </w:r>
      <w:r w:rsidR="006954AF">
        <w:rPr>
          <w:rFonts w:eastAsia="Times New Roman"/>
        </w:rPr>
        <w:t xml:space="preserve">. </w:t>
      </w:r>
      <w:r w:rsidR="00D31B82">
        <w:rPr>
          <w:rFonts w:eastAsia="Times New Roman"/>
        </w:rPr>
        <w:t>That is why the very first encounter with the candidate</w:t>
      </w:r>
      <w:r w:rsidR="003A1883">
        <w:rPr>
          <w:rFonts w:eastAsia="Times New Roman"/>
        </w:rPr>
        <w:t>’</w:t>
      </w:r>
      <w:r w:rsidR="00D31B82">
        <w:rPr>
          <w:rFonts w:eastAsia="Times New Roman"/>
        </w:rPr>
        <w:t xml:space="preserve">s texts I was puzzled by the phrase “From the viewpoint of </w:t>
      </w:r>
      <w:r w:rsidR="00D31B82">
        <w:rPr>
          <w:rStyle w:val="fontstyle01"/>
        </w:rPr>
        <w:t xml:space="preserve">Applied Linguistics…. “ </w:t>
      </w:r>
      <w:r w:rsidR="006954AF">
        <w:rPr>
          <w:rFonts w:eastAsia="Times New Roman"/>
        </w:rPr>
        <w:t xml:space="preserve">(№1, </w:t>
      </w:r>
      <w:r>
        <w:rPr>
          <w:rFonts w:eastAsia="Times New Roman"/>
        </w:rPr>
        <w:t>p</w:t>
      </w:r>
      <w:r w:rsidR="006954AF">
        <w:rPr>
          <w:rFonts w:eastAsia="Times New Roman"/>
        </w:rPr>
        <w:t xml:space="preserve">. 12) </w:t>
      </w:r>
      <w:r w:rsidR="003A1883">
        <w:rPr>
          <w:rFonts w:eastAsia="Times New Roman"/>
        </w:rPr>
        <w:t>because</w:t>
      </w:r>
      <w:r w:rsidR="006954AF">
        <w:rPr>
          <w:rFonts w:eastAsia="Times New Roman"/>
        </w:rPr>
        <w:t xml:space="preserve"> </w:t>
      </w:r>
      <w:r w:rsidR="00D31B82">
        <w:rPr>
          <w:rFonts w:eastAsia="Times New Roman"/>
        </w:rPr>
        <w:t>a single viewpoint is not possible</w:t>
      </w:r>
      <w:r w:rsidR="006954AF">
        <w:rPr>
          <w:rFonts w:eastAsia="Times New Roman"/>
        </w:rPr>
        <w:t xml:space="preserve">. </w:t>
      </w:r>
      <w:r w:rsidR="00D31B82">
        <w:rPr>
          <w:rFonts w:eastAsia="Times New Roman"/>
        </w:rPr>
        <w:t>An enormous amount of knowledge is required about each of the mentioned aspects so that meaningful relations could be established afterwards and a higher</w:t>
      </w:r>
      <w:r w:rsidR="003A1883">
        <w:rPr>
          <w:rFonts w:eastAsia="Times New Roman"/>
        </w:rPr>
        <w:t>-</w:t>
      </w:r>
      <w:r w:rsidR="00D31B82">
        <w:rPr>
          <w:rFonts w:eastAsia="Times New Roman"/>
        </w:rPr>
        <w:t xml:space="preserve">level synthesis be achieved. </w:t>
      </w:r>
    </w:p>
    <w:p w14:paraId="5F9B0ED1" w14:textId="77777777" w:rsidR="006954AF" w:rsidRDefault="006954AF" w:rsidP="006954AF">
      <w:pPr>
        <w:spacing w:line="240" w:lineRule="auto"/>
        <w:ind w:left="284" w:hanging="284"/>
        <w:jc w:val="both"/>
        <w:outlineLvl w:val="1"/>
        <w:rPr>
          <w:rFonts w:eastAsia="Times New Roman"/>
        </w:rPr>
      </w:pPr>
    </w:p>
    <w:p w14:paraId="5597F095" w14:textId="7B9C0C67" w:rsidR="006954AF" w:rsidRDefault="00D31B82" w:rsidP="00D31B82">
      <w:pPr>
        <w:ind w:left="284"/>
        <w:rPr>
          <w:rFonts w:eastAsia="Times New Roman"/>
        </w:rPr>
      </w:pPr>
      <w:r>
        <w:rPr>
          <w:rFonts w:eastAsia="Times New Roman"/>
        </w:rPr>
        <w:t xml:space="preserve">The title of the book </w:t>
      </w:r>
      <w:r w:rsidR="00AD018D">
        <w:rPr>
          <w:rStyle w:val="fontstyle01"/>
          <w:i/>
          <w:iCs/>
        </w:rPr>
        <w:t>L</w:t>
      </w:r>
      <w:r w:rsidRPr="0061744F">
        <w:rPr>
          <w:rStyle w:val="fontstyle01"/>
          <w:i/>
          <w:iCs/>
        </w:rPr>
        <w:t>anguage of the advertising slogan. German-Bulgarian parallels</w:t>
      </w:r>
      <w:r w:rsidR="006954AF">
        <w:rPr>
          <w:rFonts w:eastAsia="Times New Roman"/>
        </w:rPr>
        <w:t xml:space="preserve"> </w:t>
      </w:r>
      <w:r w:rsidRPr="00D31B82">
        <w:rPr>
          <w:rFonts w:eastAsia="Times New Roman"/>
        </w:rPr>
        <w:t>sounds fashionable and intriguing</w:t>
      </w:r>
      <w:r w:rsidR="006954AF">
        <w:rPr>
          <w:rFonts w:eastAsia="Times New Roman"/>
        </w:rPr>
        <w:t xml:space="preserve">. </w:t>
      </w:r>
      <w:r>
        <w:rPr>
          <w:rFonts w:eastAsia="Times New Roman"/>
        </w:rPr>
        <w:t xml:space="preserve">The goal of the slogan being </w:t>
      </w:r>
      <w:r w:rsidR="00C64336">
        <w:rPr>
          <w:rFonts w:eastAsia="Times New Roman"/>
        </w:rPr>
        <w:t>the same in all communities,</w:t>
      </w:r>
      <w:r>
        <w:rPr>
          <w:rFonts w:eastAsia="Times New Roman"/>
        </w:rPr>
        <w:t xml:space="preserve"> </w:t>
      </w:r>
      <w:r w:rsidR="00C64336">
        <w:rPr>
          <w:rFonts w:eastAsia="Times New Roman"/>
        </w:rPr>
        <w:t xml:space="preserve">the refrain repeated throughout the book </w:t>
      </w:r>
      <w:r w:rsidR="00A847DB">
        <w:rPr>
          <w:rFonts w:eastAsia="Times New Roman"/>
        </w:rPr>
        <w:t>state</w:t>
      </w:r>
      <w:r w:rsidR="00C64336">
        <w:rPr>
          <w:rFonts w:eastAsia="Times New Roman"/>
        </w:rPr>
        <w:t>s</w:t>
      </w:r>
      <w:r w:rsidR="00A847DB">
        <w:rPr>
          <w:rFonts w:eastAsia="Times New Roman"/>
        </w:rPr>
        <w:t xml:space="preserve"> </w:t>
      </w:r>
      <w:r w:rsidR="00C64336">
        <w:rPr>
          <w:rFonts w:eastAsia="Times New Roman"/>
        </w:rPr>
        <w:t>that they must be</w:t>
      </w:r>
      <w:r w:rsidR="00A847DB">
        <w:rPr>
          <w:rFonts w:eastAsia="Times New Roman"/>
        </w:rPr>
        <w:t xml:space="preserve"> short, expressive, creative and easily remembered. Such characteristics are expected for slogans in any language. The differences obviously are rooted in the socio-cultural context.</w:t>
      </w:r>
    </w:p>
    <w:p w14:paraId="63A3CD2F" w14:textId="5ACC67E2" w:rsidR="00A847DB" w:rsidRDefault="00A847DB" w:rsidP="00A847DB">
      <w:pPr>
        <w:spacing w:line="240" w:lineRule="auto"/>
        <w:ind w:left="284" w:firstLine="424"/>
        <w:jc w:val="both"/>
        <w:outlineLvl w:val="1"/>
        <w:rPr>
          <w:rFonts w:eastAsia="Times New Roman"/>
        </w:rPr>
      </w:pPr>
      <w:r>
        <w:rPr>
          <w:rFonts w:eastAsia="Times New Roman"/>
        </w:rPr>
        <w:t xml:space="preserve">The author starts with a description of “what happens on each language level” </w:t>
      </w:r>
      <w:r w:rsidRPr="00C34D26">
        <w:rPr>
          <w:rFonts w:eastAsia="Times New Roman"/>
        </w:rPr>
        <w:t>(</w:t>
      </w:r>
      <w:r w:rsidR="00C64336">
        <w:rPr>
          <w:rFonts w:eastAsia="Times New Roman"/>
        </w:rPr>
        <w:t>p</w:t>
      </w:r>
      <w:r w:rsidRPr="00C34D26">
        <w:rPr>
          <w:rFonts w:eastAsia="Times New Roman"/>
        </w:rPr>
        <w:t>. 10).</w:t>
      </w:r>
      <w:r>
        <w:rPr>
          <w:rFonts w:eastAsia="Times New Roman"/>
        </w:rPr>
        <w:t xml:space="preserve"> Due to the alternation of structural and functional description</w:t>
      </w:r>
      <w:r w:rsidR="00C64336">
        <w:rPr>
          <w:rFonts w:eastAsia="Times New Roman"/>
        </w:rPr>
        <w:t>s</w:t>
      </w:r>
      <w:r>
        <w:rPr>
          <w:rFonts w:eastAsia="Times New Roman"/>
        </w:rPr>
        <w:t xml:space="preserve">, the exposition is fragmentary and </w:t>
      </w:r>
      <w:r w:rsidR="0088132F">
        <w:rPr>
          <w:rFonts w:eastAsia="Times New Roman"/>
        </w:rPr>
        <w:lastRenderedPageBreak/>
        <w:t xml:space="preserve">inconsistent in places </w:t>
      </w:r>
      <w:r>
        <w:rPr>
          <w:rFonts w:eastAsia="Times New Roman"/>
        </w:rPr>
        <w:t>(</w:t>
      </w:r>
      <w:r w:rsidR="0088132F">
        <w:rPr>
          <w:rFonts w:eastAsia="Times New Roman"/>
        </w:rPr>
        <w:t>e.g</w:t>
      </w:r>
      <w:r>
        <w:rPr>
          <w:rFonts w:eastAsia="Times New Roman"/>
        </w:rPr>
        <w:t xml:space="preserve">. </w:t>
      </w:r>
      <w:r w:rsidR="0088132F">
        <w:rPr>
          <w:rFonts w:eastAsia="Times New Roman"/>
        </w:rPr>
        <w:t xml:space="preserve">changes in the punctuation among phonological matters, discussion of “neologisms” among morphological matters). A list of rhetorical mechanisms is adduced later but an organic link between form and impact is rarely achieved. Nothing but declarations points to the uniqueness of slogans </w:t>
      </w:r>
      <w:r w:rsidR="00C64336">
        <w:rPr>
          <w:rFonts w:eastAsia="Times New Roman"/>
        </w:rPr>
        <w:t>since</w:t>
      </w:r>
      <w:r w:rsidR="0088132F">
        <w:rPr>
          <w:rFonts w:eastAsia="Times New Roman"/>
        </w:rPr>
        <w:t xml:space="preserve"> the </w:t>
      </w:r>
      <w:r w:rsidR="00C64336">
        <w:rPr>
          <w:rFonts w:eastAsia="Times New Roman"/>
        </w:rPr>
        <w:t>features</w:t>
      </w:r>
      <w:r w:rsidR="0088132F">
        <w:rPr>
          <w:rFonts w:eastAsia="Times New Roman"/>
        </w:rPr>
        <w:t xml:space="preserve"> </w:t>
      </w:r>
      <w:r w:rsidR="00450B38">
        <w:rPr>
          <w:rFonts w:eastAsia="Times New Roman"/>
        </w:rPr>
        <w:t>terseness, creativity and expressivity are valid for other language forms (e.g. slang, poetry). In other words, the lack of methodology strongly limits the possibility for any practical contributions</w:t>
      </w:r>
      <w:r>
        <w:rPr>
          <w:rStyle w:val="FootnoteReference"/>
          <w:rFonts w:eastAsia="Times New Roman"/>
        </w:rPr>
        <w:footnoteReference w:id="2"/>
      </w:r>
      <w:r>
        <w:rPr>
          <w:rFonts w:eastAsia="Times New Roman"/>
        </w:rPr>
        <w:t xml:space="preserve">. </w:t>
      </w:r>
      <w:r w:rsidR="00450B38">
        <w:rPr>
          <w:rFonts w:eastAsia="Times New Roman"/>
        </w:rPr>
        <w:t>A positive feature of the text is that it is very personal. The question remains whether this is enough for a scientific publication</w:t>
      </w:r>
      <w:r>
        <w:rPr>
          <w:rFonts w:eastAsia="Times New Roman"/>
        </w:rPr>
        <w:t>.</w:t>
      </w:r>
    </w:p>
    <w:p w14:paraId="1E036A0E" w14:textId="77777777" w:rsidR="00A847DB" w:rsidRDefault="00A847DB" w:rsidP="00A847DB">
      <w:pPr>
        <w:spacing w:line="240" w:lineRule="auto"/>
        <w:ind w:left="284" w:hanging="284"/>
        <w:jc w:val="both"/>
        <w:outlineLvl w:val="1"/>
        <w:rPr>
          <w:rFonts w:eastAsia="Times New Roman"/>
        </w:rPr>
      </w:pPr>
    </w:p>
    <w:p w14:paraId="040856BC" w14:textId="0E6DE7FF" w:rsidR="00A847DB" w:rsidRDefault="00D950F0" w:rsidP="00A847DB">
      <w:pPr>
        <w:spacing w:line="240" w:lineRule="auto"/>
        <w:ind w:left="284" w:firstLine="424"/>
        <w:jc w:val="both"/>
        <w:outlineLvl w:val="1"/>
        <w:rPr>
          <w:rFonts w:eastAsia="Times New Roman"/>
        </w:rPr>
      </w:pPr>
      <w:r>
        <w:rPr>
          <w:rFonts w:eastAsia="Times New Roman"/>
        </w:rPr>
        <w:t xml:space="preserve">Further down I am listing some reasons why I think the reviewed book does not answer the expectations for scientific work. </w:t>
      </w:r>
    </w:p>
    <w:p w14:paraId="4EF40DE3" w14:textId="77777777" w:rsidR="00A847DB" w:rsidRDefault="00A847DB" w:rsidP="00A847DB">
      <w:pPr>
        <w:spacing w:line="240" w:lineRule="auto"/>
        <w:ind w:left="284"/>
        <w:jc w:val="both"/>
        <w:outlineLvl w:val="1"/>
        <w:rPr>
          <w:rFonts w:eastAsia="Times New Roman"/>
        </w:rPr>
      </w:pPr>
    </w:p>
    <w:p w14:paraId="03C5A206" w14:textId="06AEF163" w:rsidR="00A847DB" w:rsidRDefault="00D950F0" w:rsidP="00A847DB">
      <w:pPr>
        <w:pStyle w:val="ListParagraph"/>
        <w:numPr>
          <w:ilvl w:val="0"/>
          <w:numId w:val="1"/>
        </w:numPr>
        <w:spacing w:after="0" w:line="240" w:lineRule="auto"/>
        <w:ind w:left="284" w:hanging="1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The corpus is not described in quantit</w:t>
      </w:r>
      <w:r w:rsidR="00C64336">
        <w:rPr>
          <w:rFonts w:ascii="Times New Roman" w:eastAsia="Times New Roman" w:hAnsi="Times New Roman" w:cs="Times New Roman"/>
          <w:sz w:val="24"/>
          <w:szCs w:val="24"/>
          <w:lang w:val="en-US"/>
        </w:rPr>
        <w:t>at</w:t>
      </w:r>
      <w:r>
        <w:rPr>
          <w:rFonts w:ascii="Times New Roman" w:eastAsia="Times New Roman" w:hAnsi="Times New Roman" w:cs="Times New Roman"/>
          <w:sz w:val="24"/>
          <w:szCs w:val="24"/>
          <w:lang w:val="en-US"/>
        </w:rPr>
        <w:t>ive terms. The Bulgarian slogans are fewer</w:t>
      </w:r>
      <w:r w:rsidR="00A84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There is no classification according to function (informative, convincing, creating demand etc.); according to type (advertising a product or a service, which determines the frequency of nouns or verbs, in the press or on TV etc.). The choice of expressive tools depends on the target group too. According to Janich, a study should consider the slogans of successful campaigns only. It is not clear </w:t>
      </w:r>
      <w:r w:rsidR="00C64336">
        <w:rPr>
          <w:rFonts w:ascii="Times New Roman" w:eastAsia="Times New Roman" w:hAnsi="Times New Roman" w:cs="Times New Roman"/>
          <w:sz w:val="24"/>
          <w:szCs w:val="24"/>
          <w:lang w:val="en-US"/>
        </w:rPr>
        <w:t xml:space="preserve">then </w:t>
      </w:r>
      <w:r>
        <w:rPr>
          <w:rFonts w:ascii="Times New Roman" w:eastAsia="Times New Roman" w:hAnsi="Times New Roman" w:cs="Times New Roman"/>
          <w:sz w:val="24"/>
          <w:szCs w:val="24"/>
          <w:lang w:val="en-US"/>
        </w:rPr>
        <w:t>what the role is of the negative evaluation of some Bulgarian slogans.</w:t>
      </w:r>
      <w:r w:rsidR="00A847DB">
        <w:rPr>
          <w:rFonts w:ascii="Times New Roman" w:eastAsia="Times New Roman" w:hAnsi="Times New Roman" w:cs="Times New Roman"/>
          <w:sz w:val="24"/>
          <w:szCs w:val="24"/>
        </w:rPr>
        <w:t xml:space="preserve"> </w:t>
      </w:r>
    </w:p>
    <w:p w14:paraId="4FE56A83" w14:textId="3FBFCA1B" w:rsidR="00A847DB" w:rsidRPr="002C3B1E" w:rsidRDefault="004A3ED7" w:rsidP="00A847DB">
      <w:pPr>
        <w:pStyle w:val="ListParagraph"/>
        <w:numPr>
          <w:ilvl w:val="0"/>
          <w:numId w:val="1"/>
        </w:numPr>
        <w:spacing w:after="0" w:line="240" w:lineRule="auto"/>
        <w:ind w:left="284" w:firstLine="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The crucial role of the context has not been sufficiently made prominent. The slogan is a part of the whole advertisement! The product, the name of the company and its history, the social attitude, the target groups – all this</w:t>
      </w:r>
      <w:r w:rsidR="00C6433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and more</w:t>
      </w:r>
      <w:r w:rsidR="00C6433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is context. In and of itself the language of slogans is not a tool for conviction</w:t>
      </w:r>
      <w:r w:rsidR="00A847DB" w:rsidRPr="002C3B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as said on p</w:t>
      </w:r>
      <w:r w:rsidR="00A847DB" w:rsidRPr="002C3B1E">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lang w:val="en-US"/>
        </w:rPr>
        <w:t>Cf</w:t>
      </w:r>
      <w:r w:rsidR="00A847DB" w:rsidRPr="002C3B1E">
        <w:rPr>
          <w:rFonts w:ascii="Times New Roman" w:eastAsia="Times New Roman" w:hAnsi="Times New Roman" w:cs="Times New Roman"/>
          <w:sz w:val="24"/>
          <w:szCs w:val="24"/>
        </w:rPr>
        <w:t>.</w:t>
      </w:r>
      <w:r w:rsidR="00A84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the tr</w:t>
      </w:r>
      <w:r w:rsidR="009677B3">
        <w:rPr>
          <w:rFonts w:ascii="Times New Roman" w:eastAsia="Times New Roman" w:hAnsi="Times New Roman" w:cs="Times New Roman"/>
          <w:sz w:val="24"/>
          <w:szCs w:val="24"/>
          <w:lang w:val="en-US"/>
        </w:rPr>
        <w:t>ivial phrases</w:t>
      </w:r>
      <w:r w:rsidR="00A847DB">
        <w:rPr>
          <w:rFonts w:ascii="Times New Roman" w:eastAsia="Times New Roman" w:hAnsi="Times New Roman" w:cs="Times New Roman"/>
          <w:sz w:val="24"/>
          <w:szCs w:val="24"/>
        </w:rPr>
        <w:t>:</w:t>
      </w:r>
      <w:r w:rsidR="00A847DB" w:rsidRPr="002C3B1E">
        <w:rPr>
          <w:rFonts w:ascii="Times New Roman" w:eastAsia="Times New Roman" w:hAnsi="Times New Roman" w:cs="Times New Roman"/>
          <w:sz w:val="24"/>
          <w:szCs w:val="24"/>
        </w:rPr>
        <w:t xml:space="preserve"> </w:t>
      </w:r>
    </w:p>
    <w:p w14:paraId="2F34157B" w14:textId="1E213F6F" w:rsidR="00A847DB" w:rsidRPr="00D77CA4" w:rsidRDefault="00AE0F4F" w:rsidP="00A847DB">
      <w:pPr>
        <w:spacing w:line="240" w:lineRule="auto"/>
        <w:ind w:left="360" w:firstLine="348"/>
        <w:jc w:val="both"/>
        <w:outlineLvl w:val="1"/>
        <w:rPr>
          <w:rFonts w:eastAsia="Times New Roman"/>
        </w:rPr>
      </w:pPr>
      <w:r>
        <w:rPr>
          <w:rFonts w:eastAsia="Times New Roman"/>
          <w:i/>
          <w:iCs/>
        </w:rPr>
        <w:t xml:space="preserve">Gute Woche. </w:t>
      </w:r>
      <w:r w:rsidRPr="00AE0F4F">
        <w:rPr>
          <w:rFonts w:eastAsia="Times New Roman"/>
        </w:rPr>
        <w:t>Kaufland</w:t>
      </w:r>
      <w:r w:rsidR="00A847DB" w:rsidRPr="00D77CA4">
        <w:rPr>
          <w:rFonts w:eastAsia="Times New Roman"/>
        </w:rPr>
        <w:t xml:space="preserve"> </w:t>
      </w:r>
    </w:p>
    <w:p w14:paraId="7C28ED1E" w14:textId="76E61D2E" w:rsidR="00A847DB" w:rsidRDefault="00A847DB" w:rsidP="00A847DB">
      <w:pPr>
        <w:pStyle w:val="ListParagraph"/>
        <w:spacing w:after="0" w:line="240" w:lineRule="auto"/>
        <w:ind w:left="284" w:firstLine="424"/>
        <w:jc w:val="both"/>
        <w:outlineLvl w:val="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Винаги и</w:t>
      </w:r>
      <w:r w:rsidRPr="0063115B">
        <w:rPr>
          <w:rFonts w:ascii="Times New Roman" w:eastAsia="Times New Roman" w:hAnsi="Times New Roman" w:cs="Times New Roman"/>
          <w:i/>
          <w:iCs/>
          <w:sz w:val="24"/>
          <w:szCs w:val="24"/>
        </w:rPr>
        <w:t>ма решение</w:t>
      </w:r>
      <w:r w:rsidRPr="002B6903">
        <w:rPr>
          <w:rFonts w:ascii="Times New Roman" w:eastAsia="Times New Roman" w:hAnsi="Times New Roman" w:cs="Times New Roman"/>
          <w:sz w:val="24"/>
          <w:szCs w:val="24"/>
        </w:rPr>
        <w:t xml:space="preserve"> </w:t>
      </w:r>
      <w:r w:rsidR="00AE0F4F">
        <w:rPr>
          <w:rFonts w:ascii="Times New Roman" w:eastAsia="Times New Roman" w:hAnsi="Times New Roman" w:cs="Times New Roman"/>
          <w:sz w:val="24"/>
          <w:szCs w:val="24"/>
          <w:lang w:val="en-US"/>
        </w:rPr>
        <w:t xml:space="preserve">translated from </w:t>
      </w:r>
      <w:r w:rsidR="00AE0F4F" w:rsidRPr="00AE0F4F">
        <w:rPr>
          <w:rFonts w:ascii="Times New Roman" w:eastAsia="Times New Roman" w:hAnsi="Times New Roman" w:cs="Times New Roman"/>
          <w:i/>
          <w:iCs/>
          <w:sz w:val="24"/>
          <w:szCs w:val="24"/>
          <w:lang w:val="en-US"/>
        </w:rPr>
        <w:t>Einfach. Für alle</w:t>
      </w:r>
      <w:r w:rsidR="00AE0F4F">
        <w:rPr>
          <w:rFonts w:ascii="Times New Roman" w:eastAsia="Times New Roman" w:hAnsi="Times New Roman" w:cs="Times New Roman"/>
          <w:sz w:val="24"/>
          <w:szCs w:val="24"/>
          <w:lang w:val="en-US"/>
        </w:rPr>
        <w:t>. Praktiker</w:t>
      </w:r>
      <w:r w:rsidRPr="002B6903">
        <w:rPr>
          <w:rFonts w:ascii="Times New Roman" w:eastAsia="Times New Roman" w:hAnsi="Times New Roman" w:cs="Times New Roman"/>
          <w:sz w:val="24"/>
          <w:szCs w:val="24"/>
        </w:rPr>
        <w:t xml:space="preserve"> </w:t>
      </w:r>
    </w:p>
    <w:p w14:paraId="491D8525" w14:textId="504F37F7" w:rsidR="00A847DB" w:rsidRDefault="00AE0F4F" w:rsidP="00A847DB">
      <w:pPr>
        <w:pStyle w:val="ListParagraph"/>
        <w:spacing w:after="0" w:line="240" w:lineRule="auto"/>
        <w:ind w:left="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Conviction emerges non-verbally from the combination with the name of the company and this does not mean that it has been somehow hidden</w:t>
      </w:r>
      <w:r w:rsidR="00C64336">
        <w:rPr>
          <w:rFonts w:ascii="Times New Roman" w:eastAsia="Times New Roman" w:hAnsi="Times New Roman" w:cs="Times New Roman"/>
          <w:sz w:val="24"/>
          <w:szCs w:val="24"/>
          <w:lang w:val="en-US"/>
        </w:rPr>
        <w:t>/veiled</w:t>
      </w:r>
      <w:r>
        <w:rPr>
          <w:rFonts w:ascii="Times New Roman" w:eastAsia="Times New Roman" w:hAnsi="Times New Roman" w:cs="Times New Roman"/>
          <w:sz w:val="24"/>
          <w:szCs w:val="24"/>
          <w:lang w:val="en-US"/>
        </w:rPr>
        <w:t xml:space="preserve"> as the author often maintains. That is why the pragmatic distinction “what is said” versus “what is meant” should have been introduced</w:t>
      </w:r>
      <w:r w:rsidR="00A847DB">
        <w:rPr>
          <w:rFonts w:ascii="Times New Roman" w:eastAsia="Times New Roman" w:hAnsi="Times New Roman" w:cs="Times New Roman"/>
          <w:sz w:val="24"/>
          <w:szCs w:val="24"/>
        </w:rPr>
        <w:t xml:space="preserve"> (</w:t>
      </w:r>
      <w:r w:rsidR="001810BE">
        <w:rPr>
          <w:rFonts w:ascii="Times New Roman" w:eastAsia="Times New Roman" w:hAnsi="Times New Roman" w:cs="Times New Roman"/>
          <w:sz w:val="24"/>
          <w:szCs w:val="24"/>
          <w:lang w:val="en-US"/>
        </w:rPr>
        <w:t>in contrast to Lasswell’s model</w:t>
      </w:r>
      <w:r w:rsidR="00A847DB">
        <w:rPr>
          <w:rFonts w:ascii="Times New Roman" w:eastAsia="Times New Roman" w:hAnsi="Times New Roman" w:cs="Times New Roman"/>
          <w:sz w:val="24"/>
          <w:szCs w:val="24"/>
        </w:rPr>
        <w:t xml:space="preserve"> </w:t>
      </w:r>
      <w:r w:rsidR="001810BE">
        <w:rPr>
          <w:rFonts w:ascii="Times New Roman" w:eastAsia="Times New Roman" w:hAnsi="Times New Roman" w:cs="Times New Roman"/>
          <w:sz w:val="24"/>
          <w:szCs w:val="24"/>
          <w:lang w:val="en-US"/>
        </w:rPr>
        <w:t>p</w:t>
      </w:r>
      <w:r w:rsidR="00A847DB">
        <w:rPr>
          <w:rFonts w:ascii="Times New Roman" w:eastAsia="Times New Roman" w:hAnsi="Times New Roman" w:cs="Times New Roman"/>
          <w:sz w:val="24"/>
          <w:szCs w:val="24"/>
        </w:rPr>
        <w:t xml:space="preserve">. 25). </w:t>
      </w:r>
    </w:p>
    <w:p w14:paraId="5BD0AF54" w14:textId="30C6DF2C" w:rsidR="001810BE" w:rsidRDefault="001810BE" w:rsidP="001810BE">
      <w:pPr>
        <w:pStyle w:val="ListParagraph"/>
        <w:spacing w:after="0" w:line="240" w:lineRule="auto"/>
        <w:ind w:left="284" w:firstLine="424"/>
        <w:jc w:val="both"/>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Context is not only socio-cultural but encyclopedic too</w:t>
      </w:r>
      <w:r w:rsidR="00A84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The point can be illustrated by the example </w:t>
      </w:r>
      <w:r w:rsidRPr="001810BE">
        <w:rPr>
          <w:rFonts w:ascii="Times New Roman" w:eastAsia="Times New Roman" w:hAnsi="Times New Roman" w:cs="Times New Roman"/>
          <w:i/>
          <w:iCs/>
          <w:sz w:val="24"/>
          <w:szCs w:val="24"/>
          <w:lang w:val="en-US"/>
        </w:rPr>
        <w:t>Who drank (my) beer?</w:t>
      </w:r>
      <w:r>
        <w:rPr>
          <w:rFonts w:ascii="Times New Roman" w:eastAsia="Times New Roman" w:hAnsi="Times New Roman" w:cs="Times New Roman"/>
          <w:sz w:val="24"/>
          <w:szCs w:val="24"/>
          <w:lang w:val="en-US"/>
        </w:rPr>
        <w:t xml:space="preserve"> Ariana</w:t>
      </w:r>
      <w:r w:rsidR="00A84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w:t>
      </w:r>
      <w:r w:rsidR="00A847DB">
        <w:rPr>
          <w:rFonts w:ascii="Times New Roman" w:eastAsia="Times New Roman" w:hAnsi="Times New Roman" w:cs="Times New Roman"/>
          <w:sz w:val="24"/>
          <w:szCs w:val="24"/>
        </w:rPr>
        <w:t xml:space="preserve">. 225). </w:t>
      </w:r>
      <w:r>
        <w:rPr>
          <w:rFonts w:ascii="Times New Roman" w:eastAsia="Times New Roman" w:hAnsi="Times New Roman" w:cs="Times New Roman"/>
          <w:sz w:val="24"/>
          <w:szCs w:val="24"/>
          <w:lang w:val="en-US"/>
        </w:rPr>
        <w:t xml:space="preserve">I do not think that it is enough to interpret the slogan </w:t>
      </w:r>
      <w:r w:rsidR="00C64336">
        <w:rPr>
          <w:rFonts w:ascii="Times New Roman" w:eastAsia="Times New Roman" w:hAnsi="Times New Roman" w:cs="Times New Roman"/>
          <w:sz w:val="24"/>
          <w:szCs w:val="24"/>
          <w:lang w:val="en-US"/>
        </w:rPr>
        <w:t xml:space="preserve">based </w:t>
      </w:r>
      <w:r>
        <w:rPr>
          <w:rFonts w:ascii="Times New Roman" w:eastAsia="Times New Roman" w:hAnsi="Times New Roman" w:cs="Times New Roman"/>
          <w:sz w:val="24"/>
          <w:szCs w:val="24"/>
          <w:lang w:val="en-US"/>
        </w:rPr>
        <w:t xml:space="preserve">exclusively on the stories in the videos. The important point in this case is that the beer is so good that many people are enticed to steal somebody else’s beer.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The question serves as an index which creates the meaning through a series of inferences.</w:t>
      </w:r>
    </w:p>
    <w:p w14:paraId="3CD3DD28" w14:textId="65425B05" w:rsidR="007F71FB" w:rsidRPr="001810BE" w:rsidRDefault="001810BE" w:rsidP="00582DA7">
      <w:pPr>
        <w:pStyle w:val="ListParagraph"/>
        <w:numPr>
          <w:ilvl w:val="0"/>
          <w:numId w:val="3"/>
        </w:numPr>
        <w:tabs>
          <w:tab w:val="left" w:pos="567"/>
        </w:tabs>
        <w:spacing w:after="0" w:line="240" w:lineRule="auto"/>
        <w:ind w:left="284" w:firstLine="0"/>
        <w:jc w:val="both"/>
        <w:outlineLvl w:val="1"/>
        <w:rPr>
          <w:rFonts w:ascii="Times New Roman" w:hAnsi="Times New Roman" w:cs="Times New Roman"/>
          <w:sz w:val="24"/>
          <w:szCs w:val="24"/>
        </w:rPr>
      </w:pPr>
      <w:r w:rsidRPr="00582DA7">
        <w:rPr>
          <w:rFonts w:ascii="Times New Roman" w:eastAsia="Times New Roman" w:hAnsi="Times New Roman" w:cs="Times New Roman"/>
          <w:sz w:val="24"/>
          <w:szCs w:val="24"/>
          <w:lang w:val="en-US"/>
        </w:rPr>
        <w:t xml:space="preserve">The significance of slogans for language enrichment </w:t>
      </w:r>
      <w:r w:rsidR="00495BD9" w:rsidRPr="00582DA7">
        <w:rPr>
          <w:rFonts w:ascii="Times New Roman" w:eastAsia="Times New Roman" w:hAnsi="Times New Roman" w:cs="Times New Roman"/>
          <w:sz w:val="24"/>
          <w:szCs w:val="24"/>
          <w:lang w:val="en-US"/>
        </w:rPr>
        <w:t>or</w:t>
      </w:r>
      <w:r w:rsidRPr="00582DA7">
        <w:rPr>
          <w:rFonts w:ascii="Times New Roman" w:eastAsia="Times New Roman" w:hAnsi="Times New Roman" w:cs="Times New Roman"/>
          <w:sz w:val="24"/>
          <w:szCs w:val="24"/>
          <w:lang w:val="en-US"/>
        </w:rPr>
        <w:t xml:space="preserve"> their usefulness </w:t>
      </w:r>
      <w:r w:rsidR="00495BD9" w:rsidRPr="00582DA7">
        <w:rPr>
          <w:rFonts w:ascii="Times New Roman" w:eastAsia="Times New Roman" w:hAnsi="Times New Roman" w:cs="Times New Roman"/>
          <w:sz w:val="24"/>
          <w:szCs w:val="24"/>
          <w:lang w:val="en-US"/>
        </w:rPr>
        <w:t xml:space="preserve">in foreign language teaching is strongly exaggerated </w:t>
      </w:r>
      <w:r w:rsidR="00A847DB" w:rsidRPr="00582DA7">
        <w:rPr>
          <w:rFonts w:ascii="Times New Roman" w:eastAsia="Times New Roman" w:hAnsi="Times New Roman" w:cs="Times New Roman"/>
          <w:sz w:val="24"/>
          <w:szCs w:val="24"/>
        </w:rPr>
        <w:t>(</w:t>
      </w:r>
      <w:r w:rsidR="00C64336">
        <w:rPr>
          <w:rFonts w:ascii="Times New Roman" w:eastAsia="Times New Roman" w:hAnsi="Times New Roman" w:cs="Times New Roman"/>
          <w:sz w:val="24"/>
          <w:szCs w:val="24"/>
          <w:lang w:val="en-US"/>
        </w:rPr>
        <w:t>p</w:t>
      </w:r>
      <w:r w:rsidR="00A847DB" w:rsidRPr="00582DA7">
        <w:rPr>
          <w:rFonts w:ascii="Times New Roman" w:eastAsia="Times New Roman" w:hAnsi="Times New Roman" w:cs="Times New Roman"/>
          <w:sz w:val="24"/>
          <w:szCs w:val="24"/>
        </w:rPr>
        <w:t xml:space="preserve">. 9). </w:t>
      </w:r>
      <w:r w:rsidR="00495BD9" w:rsidRPr="00582DA7">
        <w:rPr>
          <w:rFonts w:ascii="Times New Roman" w:eastAsia="Times New Roman" w:hAnsi="Times New Roman" w:cs="Times New Roman"/>
          <w:b/>
          <w:bCs/>
          <w:sz w:val="24"/>
          <w:szCs w:val="24"/>
          <w:lang w:val="en-US"/>
        </w:rPr>
        <w:t>Every</w:t>
      </w:r>
      <w:r w:rsidR="00495BD9" w:rsidRPr="00582DA7">
        <w:rPr>
          <w:rFonts w:ascii="Times New Roman" w:eastAsia="Times New Roman" w:hAnsi="Times New Roman" w:cs="Times New Roman"/>
          <w:sz w:val="24"/>
          <w:szCs w:val="24"/>
          <w:lang w:val="en-US"/>
        </w:rPr>
        <w:t xml:space="preserve"> deviation from the “norm” is a meta-sign which enriches the language. It is true that individual creations from advertising feed the pool of language formulae through their frequent repetition (e.g. </w:t>
      </w:r>
      <w:r w:rsidR="00A847DB" w:rsidRPr="00582DA7">
        <w:rPr>
          <w:rFonts w:ascii="Times New Roman" w:eastAsia="Times New Roman" w:hAnsi="Times New Roman" w:cs="Times New Roman"/>
          <w:i/>
          <w:iCs/>
          <w:sz w:val="24"/>
          <w:szCs w:val="24"/>
        </w:rPr>
        <w:t>Върхът на сладоледа</w:t>
      </w:r>
      <w:r w:rsidR="00A847DB" w:rsidRPr="00582DA7">
        <w:rPr>
          <w:rFonts w:ascii="Times New Roman" w:eastAsia="Times New Roman" w:hAnsi="Times New Roman" w:cs="Times New Roman"/>
          <w:sz w:val="24"/>
          <w:szCs w:val="24"/>
        </w:rPr>
        <w:t xml:space="preserve">). </w:t>
      </w:r>
      <w:r w:rsidR="00495BD9" w:rsidRPr="00582DA7">
        <w:rPr>
          <w:rFonts w:ascii="Times New Roman" w:eastAsia="Times New Roman" w:hAnsi="Times New Roman" w:cs="Times New Roman"/>
          <w:sz w:val="24"/>
          <w:szCs w:val="24"/>
          <w:lang w:val="en-US"/>
        </w:rPr>
        <w:t>But</w:t>
      </w:r>
      <w:r w:rsidR="00582DA7">
        <w:rPr>
          <w:rFonts w:ascii="Times New Roman" w:eastAsia="Times New Roman" w:hAnsi="Times New Roman" w:cs="Times New Roman"/>
          <w:sz w:val="24"/>
          <w:szCs w:val="24"/>
          <w:lang w:val="en-US"/>
        </w:rPr>
        <w:t xml:space="preserve"> </w:t>
      </w:r>
      <w:r w:rsidR="00495BD9" w:rsidRPr="00582DA7">
        <w:rPr>
          <w:rFonts w:ascii="Times New Roman" w:eastAsia="Times New Roman" w:hAnsi="Times New Roman" w:cs="Times New Roman"/>
          <w:sz w:val="24"/>
          <w:szCs w:val="24"/>
          <w:lang w:val="en-US"/>
        </w:rPr>
        <w:t>at the root of the matter is th</w:t>
      </w:r>
      <w:r w:rsidR="00582DA7" w:rsidRPr="00582DA7">
        <w:rPr>
          <w:rFonts w:ascii="Times New Roman" w:eastAsia="Times New Roman" w:hAnsi="Times New Roman" w:cs="Times New Roman"/>
          <w:sz w:val="24"/>
          <w:szCs w:val="24"/>
          <w:lang w:val="en-US"/>
        </w:rPr>
        <w:t>at the greatest number of language usages are formulae</w:t>
      </w:r>
      <w:r w:rsidR="00582DA7">
        <w:rPr>
          <w:rFonts w:ascii="Times New Roman" w:eastAsia="Times New Roman" w:hAnsi="Times New Roman" w:cs="Times New Roman"/>
          <w:sz w:val="24"/>
          <w:szCs w:val="24"/>
          <w:lang w:val="en-US"/>
        </w:rPr>
        <w:t xml:space="preserve"> </w:t>
      </w:r>
      <w:r w:rsidR="00C64336">
        <w:rPr>
          <w:rFonts w:ascii="Times New Roman" w:eastAsia="Times New Roman" w:hAnsi="Times New Roman" w:cs="Times New Roman"/>
          <w:sz w:val="24"/>
          <w:szCs w:val="24"/>
          <w:lang w:val="en-US"/>
        </w:rPr>
        <w:t xml:space="preserve">anyway </w:t>
      </w:r>
      <w:r w:rsidR="00582DA7">
        <w:rPr>
          <w:rFonts w:ascii="Times New Roman" w:eastAsia="Times New Roman" w:hAnsi="Times New Roman" w:cs="Times New Roman"/>
          <w:sz w:val="24"/>
          <w:szCs w:val="24"/>
          <w:lang w:val="en-US"/>
        </w:rPr>
        <w:t xml:space="preserve">and from there they get into adverts </w:t>
      </w:r>
      <w:r w:rsidR="00582DA7">
        <w:rPr>
          <w:rFonts w:ascii="Times New Roman" w:eastAsia="Times New Roman" w:hAnsi="Times New Roman" w:cs="Times New Roman"/>
          <w:sz w:val="24"/>
          <w:szCs w:val="24"/>
        </w:rPr>
        <w:t>(</w:t>
      </w:r>
      <w:r w:rsidR="00582DA7" w:rsidRPr="00C42378">
        <w:rPr>
          <w:rFonts w:ascii="Times New Roman" w:eastAsia="Times New Roman" w:hAnsi="Times New Roman" w:cs="Times New Roman"/>
          <w:i/>
          <w:iCs/>
          <w:sz w:val="24"/>
          <w:szCs w:val="24"/>
        </w:rPr>
        <w:t>Защото така!</w:t>
      </w:r>
      <w:r w:rsidR="00582DA7">
        <w:rPr>
          <w:rFonts w:ascii="Times New Roman" w:eastAsia="Times New Roman" w:hAnsi="Times New Roman" w:cs="Times New Roman"/>
          <w:sz w:val="24"/>
          <w:szCs w:val="24"/>
        </w:rPr>
        <w:t>).</w:t>
      </w:r>
      <w:r w:rsidR="00582DA7">
        <w:rPr>
          <w:rFonts w:ascii="Times New Roman" w:eastAsia="Times New Roman" w:hAnsi="Times New Roman" w:cs="Times New Roman"/>
          <w:sz w:val="24"/>
          <w:szCs w:val="24"/>
          <w:lang w:val="en-US"/>
        </w:rPr>
        <w:t xml:space="preserve"> It’s only natural for the opposite process to take place</w:t>
      </w:r>
      <w:r w:rsidR="00C64336">
        <w:rPr>
          <w:rFonts w:ascii="Times New Roman" w:eastAsia="Times New Roman" w:hAnsi="Times New Roman" w:cs="Times New Roman"/>
          <w:sz w:val="24"/>
          <w:szCs w:val="24"/>
          <w:lang w:val="en-US"/>
        </w:rPr>
        <w:t xml:space="preserve"> too</w:t>
      </w:r>
      <w:r w:rsidR="00582DA7">
        <w:rPr>
          <w:rFonts w:ascii="Times New Roman" w:eastAsia="Times New Roman" w:hAnsi="Times New Roman" w:cs="Times New Roman"/>
          <w:sz w:val="24"/>
          <w:szCs w:val="24"/>
          <w:lang w:val="en-US"/>
        </w:rPr>
        <w:t>.</w:t>
      </w:r>
      <w:r w:rsidR="00582DA7" w:rsidRPr="00582DA7">
        <w:rPr>
          <w:rFonts w:ascii="Times New Roman" w:eastAsia="Times New Roman" w:hAnsi="Times New Roman" w:cs="Times New Roman"/>
          <w:sz w:val="24"/>
          <w:szCs w:val="24"/>
          <w:lang w:val="en-US"/>
        </w:rPr>
        <w:t xml:space="preserve"> </w:t>
      </w:r>
    </w:p>
    <w:p w14:paraId="64B2012F" w14:textId="02A0B282" w:rsidR="00582DA7" w:rsidRPr="0021096A" w:rsidRDefault="00582DA7" w:rsidP="00582DA7">
      <w:pPr>
        <w:pStyle w:val="ListParagraph"/>
        <w:numPr>
          <w:ilvl w:val="0"/>
          <w:numId w:val="3"/>
        </w:numPr>
        <w:tabs>
          <w:tab w:val="left" w:pos="567"/>
        </w:tabs>
        <w:spacing w:after="0" w:line="240" w:lineRule="auto"/>
        <w:ind w:left="284" w:firstLine="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Despite the use of “code” and “coding” </w:t>
      </w:r>
      <w:r w:rsidRPr="00EB443A">
        <w:rPr>
          <w:rFonts w:ascii="Times New Roman" w:eastAsia="Times New Roman" w:hAnsi="Times New Roman" w:cs="Times New Roman"/>
          <w:sz w:val="24"/>
          <w:szCs w:val="24"/>
        </w:rPr>
        <w:t>(</w:t>
      </w:r>
      <w:r w:rsidRPr="00EB443A">
        <w:rPr>
          <w:rFonts w:ascii="Times New Roman" w:hAnsi="Times New Roman" w:cs="Times New Roman"/>
          <w:sz w:val="24"/>
          <w:szCs w:val="24"/>
        </w:rPr>
        <w:t>„езикът на рекламата е наситен с кодове и значения“</w:t>
      </w:r>
      <w:r w:rsidRPr="004554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w:t>
      </w:r>
      <w:r w:rsidRPr="00EB443A">
        <w:rPr>
          <w:rFonts w:ascii="Times New Roman" w:eastAsia="Times New Roman" w:hAnsi="Times New Roman" w:cs="Times New Roman"/>
          <w:sz w:val="24"/>
          <w:szCs w:val="24"/>
        </w:rPr>
        <w:t xml:space="preserve">. </w:t>
      </w:r>
      <w:r w:rsidRPr="00EB443A">
        <w:rPr>
          <w:rFonts w:ascii="Times New Roman" w:hAnsi="Times New Roman" w:cs="Times New Roman"/>
          <w:sz w:val="24"/>
          <w:szCs w:val="24"/>
        </w:rPr>
        <w:t>30)</w:t>
      </w:r>
      <w:r w:rsidRPr="00EB4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the approach is not semiotic</w:t>
      </w:r>
      <w:r w:rsidRPr="00EB443A">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as recommended by Janich</w:t>
      </w:r>
      <w:r w:rsidRPr="00EB443A">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and as the practice is in sociolinguistic and cultural studies</w:t>
      </w:r>
      <w:r w:rsidRPr="00EB443A">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For instance</w:t>
      </w:r>
      <w:r w:rsidRPr="00EB443A">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 xml:space="preserve">the term </w:t>
      </w:r>
      <w:r w:rsidR="004401D8" w:rsidRPr="004401D8">
        <w:rPr>
          <w:rFonts w:ascii="Times New Roman" w:eastAsia="Times New Roman" w:hAnsi="Times New Roman" w:cs="Times New Roman"/>
          <w:i/>
          <w:iCs/>
          <w:sz w:val="24"/>
          <w:szCs w:val="24"/>
          <w:lang w:val="en-US"/>
        </w:rPr>
        <w:t>mnemonics</w:t>
      </w:r>
      <w:r w:rsidRPr="00EB443A">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is suitable for the study of memory</w:t>
      </w:r>
      <w:r w:rsidRPr="00EB443A">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 xml:space="preserve">but in language semiotic it is a meta-sign or index </w:t>
      </w:r>
      <w:r w:rsidRPr="00EB443A">
        <w:rPr>
          <w:rFonts w:ascii="Times New Roman" w:eastAsia="Times New Roman" w:hAnsi="Times New Roman" w:cs="Times New Roman"/>
          <w:sz w:val="24"/>
          <w:szCs w:val="24"/>
        </w:rPr>
        <w:t>(</w:t>
      </w:r>
      <w:r w:rsidR="004401D8">
        <w:rPr>
          <w:rFonts w:ascii="Times New Roman" w:eastAsia="Times New Roman" w:hAnsi="Times New Roman" w:cs="Times New Roman"/>
          <w:sz w:val="24"/>
          <w:szCs w:val="24"/>
          <w:lang w:val="en-US"/>
        </w:rPr>
        <w:t xml:space="preserve">conscious or </w:t>
      </w:r>
      <w:r w:rsidR="004401D8">
        <w:rPr>
          <w:rFonts w:ascii="Times New Roman" w:eastAsia="Times New Roman" w:hAnsi="Times New Roman" w:cs="Times New Roman"/>
          <w:sz w:val="24"/>
          <w:szCs w:val="24"/>
          <w:lang w:val="en-US"/>
        </w:rPr>
        <w:lastRenderedPageBreak/>
        <w:t>subconscious)</w:t>
      </w:r>
      <w:r w:rsidRPr="00EB44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 xml:space="preserve">There are attempts in the book to explain the concrete case of semiosis descriptively </w:t>
      </w:r>
      <w:r>
        <w:rPr>
          <w:rFonts w:ascii="Times New Roman" w:eastAsia="Times New Roman" w:hAnsi="Times New Roman" w:cs="Times New Roman"/>
          <w:sz w:val="24"/>
          <w:szCs w:val="24"/>
        </w:rPr>
        <w:t>(</w:t>
      </w:r>
      <w:r w:rsidR="004401D8">
        <w:rPr>
          <w:rFonts w:ascii="Times New Roman" w:eastAsia="Times New Roman" w:hAnsi="Times New Roman" w:cs="Times New Roman"/>
          <w:sz w:val="24"/>
          <w:szCs w:val="24"/>
          <w:lang w:val="en-US"/>
        </w:rPr>
        <w:t xml:space="preserve">e.g. by phrases like </w:t>
      </w:r>
      <w:r>
        <w:rPr>
          <w:rFonts w:ascii="Times New Roman" w:eastAsia="Times New Roman" w:hAnsi="Times New Roman" w:cs="Times New Roman"/>
          <w:sz w:val="24"/>
          <w:szCs w:val="24"/>
        </w:rPr>
        <w:t>„</w:t>
      </w:r>
      <w:r w:rsidR="004401D8">
        <w:rPr>
          <w:rFonts w:ascii="Times New Roman" w:eastAsia="Times New Roman" w:hAnsi="Times New Roman" w:cs="Times New Roman"/>
          <w:sz w:val="24"/>
          <w:szCs w:val="24"/>
          <w:lang w:val="en-US"/>
        </w:rPr>
        <w:t>a reminding mechanism</w:t>
      </w:r>
      <w:r>
        <w:rPr>
          <w:rFonts w:ascii="Times New Roman" w:eastAsia="Times New Roman" w:hAnsi="Times New Roman" w:cs="Times New Roman"/>
          <w:sz w:val="24"/>
          <w:szCs w:val="24"/>
        </w:rPr>
        <w:t xml:space="preserve">“ </w:t>
      </w:r>
      <w:r w:rsidR="004401D8">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 xml:space="preserve">. 199), </w:t>
      </w:r>
      <w:r w:rsidR="004401D8">
        <w:rPr>
          <w:rFonts w:ascii="Times New Roman" w:eastAsia="Times New Roman" w:hAnsi="Times New Roman" w:cs="Times New Roman"/>
          <w:sz w:val="24"/>
          <w:szCs w:val="24"/>
          <w:lang w:val="en-US"/>
        </w:rPr>
        <w:t>but such improvisations without a terminological apparatus sound amateur</w:t>
      </w:r>
      <w:r w:rsidR="006D20B1">
        <w:rPr>
          <w:rFonts w:ascii="Times New Roman" w:eastAsia="Times New Roman" w:hAnsi="Times New Roman" w:cs="Times New Roman"/>
          <w:sz w:val="24"/>
          <w:szCs w:val="24"/>
          <w:lang w:val="en-US"/>
        </w:rPr>
        <w:t>ish</w:t>
      </w:r>
      <w:r w:rsidR="004401D8">
        <w:rPr>
          <w:rFonts w:ascii="Times New Roman" w:eastAsia="Times New Roman" w:hAnsi="Times New Roman" w:cs="Times New Roman"/>
          <w:sz w:val="24"/>
          <w:szCs w:val="24"/>
          <w:lang w:val="en-US"/>
        </w:rPr>
        <w:t xml:space="preserve"> and </w:t>
      </w:r>
      <w:r w:rsidR="006D20B1">
        <w:rPr>
          <w:rFonts w:ascii="Times New Roman" w:eastAsia="Times New Roman" w:hAnsi="Times New Roman" w:cs="Times New Roman"/>
          <w:sz w:val="24"/>
          <w:szCs w:val="24"/>
          <w:lang w:val="en-US"/>
        </w:rPr>
        <w:t>rather foggy</w:t>
      </w:r>
      <w:r w:rsidR="004401D8">
        <w:rPr>
          <w:rFonts w:ascii="Times New Roman" w:eastAsia="Times New Roman" w:hAnsi="Times New Roman" w:cs="Times New Roman"/>
          <w:sz w:val="24"/>
          <w:szCs w:val="24"/>
          <w:lang w:val="en-US"/>
        </w:rPr>
        <w:t xml:space="preserve">, because the emphasis is on the emotional appeal of slogans </w:t>
      </w:r>
      <w:r w:rsidRPr="00902376">
        <w:rPr>
          <w:rFonts w:ascii="Times New Roman" w:hAnsi="Times New Roman" w:cs="Times New Roman"/>
          <w:sz w:val="24"/>
          <w:szCs w:val="24"/>
        </w:rPr>
        <w:t xml:space="preserve">– </w:t>
      </w:r>
      <w:r w:rsidR="004401D8">
        <w:rPr>
          <w:rFonts w:ascii="Times New Roman" w:hAnsi="Times New Roman" w:cs="Times New Roman"/>
          <w:sz w:val="24"/>
          <w:szCs w:val="24"/>
          <w:lang w:val="en-US"/>
        </w:rPr>
        <w:t>they are “sweet</w:t>
      </w:r>
      <w:r w:rsidRPr="00902376">
        <w:rPr>
          <w:rFonts w:ascii="Times New Roman" w:hAnsi="Times New Roman" w:cs="Times New Roman"/>
          <w:sz w:val="24"/>
          <w:szCs w:val="24"/>
        </w:rPr>
        <w:t>“, „</w:t>
      </w:r>
      <w:r w:rsidR="004401D8">
        <w:rPr>
          <w:rFonts w:ascii="Times New Roman" w:hAnsi="Times New Roman" w:cs="Times New Roman"/>
          <w:sz w:val="24"/>
          <w:szCs w:val="24"/>
          <w:lang w:val="en-US"/>
        </w:rPr>
        <w:t>amu</w:t>
      </w:r>
      <w:r w:rsidR="00FA0996">
        <w:rPr>
          <w:rFonts w:ascii="Times New Roman" w:hAnsi="Times New Roman" w:cs="Times New Roman"/>
          <w:sz w:val="24"/>
          <w:szCs w:val="24"/>
          <w:lang w:val="en-US"/>
        </w:rPr>
        <w:t>s</w:t>
      </w:r>
      <w:r w:rsidR="004401D8">
        <w:rPr>
          <w:rFonts w:ascii="Times New Roman" w:hAnsi="Times New Roman" w:cs="Times New Roman"/>
          <w:sz w:val="24"/>
          <w:szCs w:val="24"/>
          <w:lang w:val="en-US"/>
        </w:rPr>
        <w:t>ing</w:t>
      </w:r>
      <w:r w:rsidRPr="00902376">
        <w:rPr>
          <w:rFonts w:ascii="Times New Roman" w:hAnsi="Times New Roman" w:cs="Times New Roman"/>
          <w:sz w:val="24"/>
          <w:szCs w:val="24"/>
        </w:rPr>
        <w:t>“,</w:t>
      </w:r>
      <w:r>
        <w:rPr>
          <w:rFonts w:ascii="Times New Roman" w:hAnsi="Times New Roman" w:cs="Times New Roman"/>
          <w:sz w:val="24"/>
          <w:szCs w:val="24"/>
        </w:rPr>
        <w:t xml:space="preserve"> „</w:t>
      </w:r>
      <w:r w:rsidR="004401D8">
        <w:rPr>
          <w:rFonts w:ascii="Times New Roman" w:hAnsi="Times New Roman" w:cs="Times New Roman"/>
          <w:sz w:val="24"/>
          <w:szCs w:val="24"/>
          <w:lang w:val="en-US"/>
        </w:rPr>
        <w:t>playful</w:t>
      </w:r>
      <w:r>
        <w:rPr>
          <w:rFonts w:ascii="Times New Roman" w:hAnsi="Times New Roman" w:cs="Times New Roman"/>
          <w:sz w:val="24"/>
          <w:szCs w:val="24"/>
        </w:rPr>
        <w:t>“,</w:t>
      </w:r>
      <w:r w:rsidRPr="00902376">
        <w:rPr>
          <w:rFonts w:ascii="Times New Roman" w:hAnsi="Times New Roman" w:cs="Times New Roman"/>
          <w:sz w:val="24"/>
          <w:szCs w:val="24"/>
        </w:rPr>
        <w:t xml:space="preserve"> „</w:t>
      </w:r>
      <w:r w:rsidR="00FA0996">
        <w:rPr>
          <w:rFonts w:ascii="Times New Roman" w:hAnsi="Times New Roman" w:cs="Times New Roman"/>
          <w:sz w:val="24"/>
          <w:szCs w:val="24"/>
          <w:lang w:val="en-US"/>
        </w:rPr>
        <w:t>multilayered</w:t>
      </w:r>
      <w:r w:rsidRPr="00902376">
        <w:rPr>
          <w:rFonts w:ascii="Times New Roman" w:hAnsi="Times New Roman" w:cs="Times New Roman"/>
          <w:sz w:val="24"/>
          <w:szCs w:val="24"/>
        </w:rPr>
        <w:t>“</w:t>
      </w:r>
      <w:r>
        <w:rPr>
          <w:rFonts w:ascii="Times New Roman" w:hAnsi="Times New Roman" w:cs="Times New Roman"/>
          <w:sz w:val="24"/>
          <w:szCs w:val="24"/>
        </w:rPr>
        <w:t xml:space="preserve"> – </w:t>
      </w:r>
      <w:r w:rsidR="00FA0996">
        <w:rPr>
          <w:rFonts w:ascii="Times New Roman" w:hAnsi="Times New Roman" w:cs="Times New Roman"/>
          <w:sz w:val="24"/>
          <w:szCs w:val="24"/>
          <w:lang w:val="en-US"/>
        </w:rPr>
        <w:t>and creative of course</w:t>
      </w:r>
      <w:r w:rsidRPr="00902376">
        <w:rPr>
          <w:rFonts w:ascii="Times New Roman" w:hAnsi="Times New Roman" w:cs="Times New Roman"/>
          <w:sz w:val="24"/>
          <w:szCs w:val="24"/>
        </w:rPr>
        <w:t xml:space="preserve">. </w:t>
      </w:r>
    </w:p>
    <w:p w14:paraId="1BE449EF" w14:textId="49D3F18C" w:rsidR="00582DA7" w:rsidRPr="00B706D4" w:rsidRDefault="00FA0996" w:rsidP="00582DA7">
      <w:pPr>
        <w:pStyle w:val="ListParagraph"/>
        <w:numPr>
          <w:ilvl w:val="0"/>
          <w:numId w:val="3"/>
        </w:num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Problems with terminology</w:t>
      </w:r>
    </w:p>
    <w:p w14:paraId="1FF511D8" w14:textId="69ECD481" w:rsidR="00582DA7" w:rsidRPr="00AF58BF" w:rsidRDefault="00582DA7" w:rsidP="00582DA7">
      <w:pPr>
        <w:spacing w:line="240" w:lineRule="auto"/>
        <w:ind w:left="288"/>
        <w:rPr>
          <w:rFonts w:eastAsia="Times New Roman"/>
        </w:rPr>
      </w:pPr>
      <w:r>
        <w:rPr>
          <w:rFonts w:eastAsia="Times New Roman"/>
        </w:rPr>
        <w:t>&gt;</w:t>
      </w:r>
      <w:r w:rsidRPr="00B706D4">
        <w:rPr>
          <w:rFonts w:eastAsia="Times New Roman"/>
        </w:rPr>
        <w:t xml:space="preserve"> „инсцениране“</w:t>
      </w:r>
      <w:r w:rsidRPr="00AF58BF">
        <w:rPr>
          <w:rFonts w:eastAsia="Times New Roman"/>
        </w:rPr>
        <w:t xml:space="preserve"> </w:t>
      </w:r>
      <w:r w:rsidR="006E52C5">
        <w:rPr>
          <w:rFonts w:eastAsia="Times New Roman"/>
        </w:rPr>
        <w:t>p</w:t>
      </w:r>
      <w:r w:rsidRPr="00AF58BF">
        <w:rPr>
          <w:rFonts w:eastAsia="Times New Roman"/>
        </w:rPr>
        <w:t xml:space="preserve">. 12 </w:t>
      </w:r>
      <w:r w:rsidR="006E52C5">
        <w:rPr>
          <w:rFonts w:eastAsia="Times New Roman"/>
        </w:rPr>
        <w:t>in Bulgarian has a negative connotation while its terminological content has not been explained</w:t>
      </w:r>
      <w:r w:rsidRPr="00AF58BF">
        <w:rPr>
          <w:rFonts w:eastAsia="Times New Roman"/>
        </w:rPr>
        <w:t>; „</w:t>
      </w:r>
      <w:r w:rsidR="006E52C5">
        <w:rPr>
          <w:rFonts w:eastAsia="Times New Roman"/>
        </w:rPr>
        <w:t>transports the message</w:t>
      </w:r>
      <w:r w:rsidRPr="00AF58BF">
        <w:rPr>
          <w:rFonts w:eastAsia="Times New Roman"/>
        </w:rPr>
        <w:t xml:space="preserve">“ </w:t>
      </w:r>
      <w:r w:rsidR="006E52C5">
        <w:rPr>
          <w:rFonts w:eastAsia="Times New Roman"/>
        </w:rPr>
        <w:t>p</w:t>
      </w:r>
      <w:r w:rsidRPr="00AF58BF">
        <w:rPr>
          <w:rFonts w:eastAsia="Times New Roman"/>
        </w:rPr>
        <w:t xml:space="preserve">. 19 – </w:t>
      </w:r>
      <w:r w:rsidR="006E52C5">
        <w:rPr>
          <w:rFonts w:eastAsia="Times New Roman"/>
        </w:rPr>
        <w:t>this is a</w:t>
      </w:r>
      <w:r w:rsidR="006D20B1">
        <w:rPr>
          <w:rFonts w:eastAsia="Times New Roman"/>
        </w:rPr>
        <w:t>n</w:t>
      </w:r>
      <w:r w:rsidR="006E52C5">
        <w:rPr>
          <w:rFonts w:eastAsia="Times New Roman"/>
        </w:rPr>
        <w:t xml:space="preserve"> outmoded conceptualization, linked to the Shannon-Weaver model</w:t>
      </w:r>
      <w:r w:rsidRPr="00AF58BF">
        <w:rPr>
          <w:rFonts w:eastAsia="Times New Roman"/>
        </w:rPr>
        <w:t xml:space="preserve">; </w:t>
      </w:r>
      <w:r w:rsidRPr="00AF58BF">
        <w:rPr>
          <w:rFonts w:eastAsia="Times New Roman"/>
          <w:i/>
          <w:iCs/>
        </w:rPr>
        <w:t>added</w:t>
      </w:r>
      <w:r w:rsidRPr="00AF58BF">
        <w:rPr>
          <w:rFonts w:eastAsia="Times New Roman"/>
        </w:rPr>
        <w:t xml:space="preserve"> </w:t>
      </w:r>
      <w:r w:rsidRPr="00AF58BF">
        <w:rPr>
          <w:rFonts w:eastAsia="Times New Roman"/>
          <w:i/>
          <w:iCs/>
        </w:rPr>
        <w:t>value</w:t>
      </w:r>
      <w:r w:rsidRPr="00AF58BF">
        <w:rPr>
          <w:rFonts w:eastAsia="Times New Roman"/>
        </w:rPr>
        <w:t xml:space="preserve"> – </w:t>
      </w:r>
      <w:r w:rsidR="006E52C5">
        <w:rPr>
          <w:rFonts w:eastAsia="Times New Roman"/>
        </w:rPr>
        <w:t>translated as</w:t>
      </w:r>
      <w:r w:rsidRPr="00AF58BF">
        <w:rPr>
          <w:rFonts w:eastAsia="Times New Roman"/>
        </w:rPr>
        <w:t xml:space="preserve"> „добавена“ </w:t>
      </w:r>
      <w:r w:rsidR="006E52C5">
        <w:rPr>
          <w:rFonts w:eastAsia="Times New Roman"/>
        </w:rPr>
        <w:t>p</w:t>
      </w:r>
      <w:r w:rsidRPr="00AF58BF">
        <w:rPr>
          <w:rFonts w:eastAsia="Times New Roman"/>
        </w:rPr>
        <w:t>. 27</w:t>
      </w:r>
      <w:r w:rsidR="006E52C5">
        <w:rPr>
          <w:rFonts w:eastAsia="Times New Roman"/>
        </w:rPr>
        <w:t xml:space="preserve"> or</w:t>
      </w:r>
      <w:r w:rsidRPr="00AF58BF">
        <w:rPr>
          <w:rFonts w:eastAsia="Times New Roman"/>
        </w:rPr>
        <w:t xml:space="preserve"> „принадена“ стойност </w:t>
      </w:r>
      <w:r w:rsidR="006E52C5">
        <w:rPr>
          <w:rFonts w:eastAsia="Times New Roman"/>
        </w:rPr>
        <w:t>p</w:t>
      </w:r>
      <w:r w:rsidRPr="00AF58BF">
        <w:rPr>
          <w:rFonts w:eastAsia="Times New Roman"/>
        </w:rPr>
        <w:t xml:space="preserve">. 23, </w:t>
      </w:r>
      <w:r w:rsidR="006E52C5">
        <w:rPr>
          <w:rFonts w:eastAsia="Times New Roman"/>
        </w:rPr>
        <w:t>while no Marxist connotations are meant</w:t>
      </w:r>
      <w:r w:rsidRPr="00AF58BF">
        <w:rPr>
          <w:rFonts w:eastAsia="Times New Roman"/>
        </w:rPr>
        <w:t>.</w:t>
      </w:r>
    </w:p>
    <w:p w14:paraId="17BA51E7" w14:textId="4837040F" w:rsidR="00582DA7" w:rsidRDefault="00582DA7" w:rsidP="00582DA7">
      <w:pPr>
        <w:spacing w:line="240" w:lineRule="auto"/>
        <w:ind w:left="284"/>
        <w:jc w:val="both"/>
        <w:outlineLvl w:val="1"/>
      </w:pPr>
      <w:r>
        <w:t xml:space="preserve">&gt; </w:t>
      </w:r>
      <w:r w:rsidR="00C6276A">
        <w:t>The translation of the term</w:t>
      </w:r>
      <w:r>
        <w:t xml:space="preserve"> Determinativkompositum (</w:t>
      </w:r>
      <w:r w:rsidR="00C6276A">
        <w:t>p</w:t>
      </w:r>
      <w:r>
        <w:t xml:space="preserve">. 64) </w:t>
      </w:r>
      <w:r w:rsidR="006D20B1">
        <w:t>as</w:t>
      </w:r>
      <w:r>
        <w:t xml:space="preserve"> „</w:t>
      </w:r>
      <w:r w:rsidR="00C6276A">
        <w:t>determinating compound</w:t>
      </w:r>
      <w:r>
        <w:t xml:space="preserve">“ </w:t>
      </w:r>
      <w:r w:rsidR="00C6276A">
        <w:t xml:space="preserve">does not render the nature of the type since it is just the first component that determines the second </w:t>
      </w:r>
      <w:r>
        <w:t xml:space="preserve"> </w:t>
      </w:r>
      <w:r w:rsidR="00C6276A">
        <w:t>(hypotactic link with the head, i.e.</w:t>
      </w:r>
      <w:r>
        <w:t xml:space="preserve"> „детерминира</w:t>
      </w:r>
      <w:r w:rsidRPr="00AF58BF">
        <w:rPr>
          <w:b/>
          <w:bCs/>
        </w:rPr>
        <w:t>на</w:t>
      </w:r>
      <w:r>
        <w:t xml:space="preserve">“). </w:t>
      </w:r>
    </w:p>
    <w:p w14:paraId="61E4DADD" w14:textId="5A08FBE2" w:rsidR="00582DA7" w:rsidRPr="00AF58BF" w:rsidRDefault="00582DA7" w:rsidP="00582DA7">
      <w:pPr>
        <w:spacing w:line="240" w:lineRule="auto"/>
        <w:ind w:left="284"/>
        <w:jc w:val="both"/>
        <w:outlineLvl w:val="1"/>
      </w:pPr>
      <w:r>
        <w:t xml:space="preserve">&gt; </w:t>
      </w:r>
      <w:r w:rsidR="00C6276A">
        <w:t xml:space="preserve">Having described the word-formation mechanism producing compounds from familiar </w:t>
      </w:r>
      <w:r w:rsidR="00C6276A" w:rsidRPr="00C6276A">
        <w:rPr>
          <w:b/>
          <w:bCs/>
        </w:rPr>
        <w:t>lexemes</w:t>
      </w:r>
      <w:r w:rsidR="00C6276A">
        <w:t xml:space="preserve"> (?), Dr. Furkova writes: </w:t>
      </w:r>
      <w:r w:rsidRPr="00AF58BF">
        <w:t xml:space="preserve">„в езика на рекламата преобладава словообразуването по пътя на </w:t>
      </w:r>
      <w:r w:rsidRPr="00AF58BF">
        <w:rPr>
          <w:b/>
          <w:bCs/>
        </w:rPr>
        <w:t>деривацията</w:t>
      </w:r>
      <w:r>
        <w:rPr>
          <w:b/>
          <w:bCs/>
        </w:rPr>
        <w:t>(?)</w:t>
      </w:r>
      <w:r w:rsidRPr="00AF58BF">
        <w:t>: с образуване на производни от съществуващи в езика лексеми или видоизменяне на заемки от чужди езици“</w:t>
      </w:r>
      <w:r>
        <w:t xml:space="preserve"> </w:t>
      </w:r>
      <w:r w:rsidRPr="00AF58BF">
        <w:t>(</w:t>
      </w:r>
      <w:r w:rsidR="00C6276A">
        <w:t>p</w:t>
      </w:r>
      <w:r w:rsidRPr="00AF58BF">
        <w:t xml:space="preserve">. 59). </w:t>
      </w:r>
      <w:r w:rsidR="006D20B1">
        <w:t xml:space="preserve">Should be </w:t>
      </w:r>
      <w:r w:rsidR="006D20B1" w:rsidRPr="006D20B1">
        <w:rPr>
          <w:b/>
          <w:bCs/>
        </w:rPr>
        <w:t>stems</w:t>
      </w:r>
      <w:r w:rsidR="006D20B1">
        <w:t xml:space="preserve"> and </w:t>
      </w:r>
      <w:r w:rsidR="006D20B1" w:rsidRPr="006D20B1">
        <w:rPr>
          <w:b/>
          <w:bCs/>
        </w:rPr>
        <w:t>compounding</w:t>
      </w:r>
      <w:r w:rsidR="006D20B1">
        <w:t>.</w:t>
      </w:r>
    </w:p>
    <w:p w14:paraId="23AD4939" w14:textId="6239F9F9" w:rsidR="00582DA7" w:rsidRPr="004575D7" w:rsidRDefault="00582DA7" w:rsidP="00582DA7">
      <w:pPr>
        <w:spacing w:line="240" w:lineRule="auto"/>
        <w:ind w:left="284"/>
        <w:jc w:val="both"/>
        <w:outlineLvl w:val="1"/>
      </w:pPr>
      <w:r>
        <w:t xml:space="preserve">&gt; </w:t>
      </w:r>
      <w:r w:rsidR="00C6276A">
        <w:t xml:space="preserve">The term </w:t>
      </w:r>
      <w:r w:rsidR="00C6276A" w:rsidRPr="00C6276A">
        <w:rPr>
          <w:i/>
          <w:iCs/>
        </w:rPr>
        <w:t>composition</w:t>
      </w:r>
      <w:r w:rsidR="00C6276A">
        <w:t xml:space="preserve"> has not been used. Other Bulgarian equivalents of terms for mechanisms of word-formation have not been used either</w:t>
      </w:r>
      <w:r w:rsidRPr="004575D7">
        <w:t xml:space="preserve"> (</w:t>
      </w:r>
      <w:r w:rsidR="00805908">
        <w:t>e.g.</w:t>
      </w:r>
      <w:r w:rsidRPr="004575D7">
        <w:t xml:space="preserve"> </w:t>
      </w:r>
      <w:r>
        <w:rPr>
          <w:i/>
          <w:iCs/>
        </w:rPr>
        <w:t>телескопия</w:t>
      </w:r>
      <w:r>
        <w:t xml:space="preserve"> (</w:t>
      </w:r>
      <w:r w:rsidRPr="004575D7">
        <w:rPr>
          <w:i/>
          <w:iCs/>
        </w:rPr>
        <w:t>Elephantastisch</w:t>
      </w:r>
      <w:r>
        <w:t>)</w:t>
      </w:r>
      <w:r w:rsidRPr="004575D7">
        <w:rPr>
          <w:i/>
          <w:iCs/>
        </w:rPr>
        <w:t xml:space="preserve">, </w:t>
      </w:r>
      <w:r w:rsidRPr="004575D7">
        <w:t>конверсия</w:t>
      </w:r>
      <w:r>
        <w:t>/</w:t>
      </w:r>
      <w:r w:rsidRPr="004575D7">
        <w:t xml:space="preserve"> синтактичен механизъм </w:t>
      </w:r>
      <w:r w:rsidR="00805908">
        <w:t>p</w:t>
      </w:r>
      <w:r w:rsidRPr="004575D7">
        <w:t xml:space="preserve">. 68), </w:t>
      </w:r>
      <w:r w:rsidR="00805908">
        <w:t>neither is there reference to even one Bulgarian source for word-formation</w:t>
      </w:r>
      <w:r w:rsidRPr="004575D7">
        <w:t xml:space="preserve">. </w:t>
      </w:r>
    </w:p>
    <w:p w14:paraId="49DEC9A0" w14:textId="0E4CB3C6" w:rsidR="00582DA7" w:rsidRDefault="00582DA7" w:rsidP="00582DA7">
      <w:pPr>
        <w:spacing w:line="240" w:lineRule="auto"/>
        <w:ind w:left="284"/>
        <w:jc w:val="both"/>
        <w:outlineLvl w:val="1"/>
        <w:rPr>
          <w:rFonts w:eastAsia="Times New Roman"/>
        </w:rPr>
      </w:pPr>
      <w:r>
        <w:rPr>
          <w:rFonts w:eastAsia="Times New Roman"/>
        </w:rPr>
        <w:t xml:space="preserve">&gt; </w:t>
      </w:r>
      <w:r w:rsidR="00C96FBE">
        <w:rPr>
          <w:rFonts w:eastAsia="Times New Roman"/>
        </w:rPr>
        <w:t xml:space="preserve">The term </w:t>
      </w:r>
      <w:r w:rsidR="00C96FBE" w:rsidRPr="00972A3C">
        <w:rPr>
          <w:rFonts w:eastAsia="Times New Roman"/>
          <w:i/>
          <w:iCs/>
        </w:rPr>
        <w:t>genre</w:t>
      </w:r>
      <w:r w:rsidR="00C96FBE">
        <w:rPr>
          <w:rFonts w:eastAsia="Times New Roman"/>
        </w:rPr>
        <w:t xml:space="preserve"> has not been mentioned once, even if it is defining of style. Style itself has not been defined either – where does the author position it vis-à-vis her analysis of fragments of language? </w:t>
      </w:r>
    </w:p>
    <w:p w14:paraId="02E9E8A1" w14:textId="044B7E16" w:rsidR="00582DA7" w:rsidRPr="00B706D4" w:rsidRDefault="00582DA7" w:rsidP="00582DA7">
      <w:pPr>
        <w:spacing w:line="240" w:lineRule="auto"/>
        <w:ind w:left="284"/>
        <w:jc w:val="both"/>
        <w:outlineLvl w:val="1"/>
        <w:rPr>
          <w:rFonts w:eastAsia="Times New Roman"/>
        </w:rPr>
      </w:pPr>
      <w:r>
        <w:rPr>
          <w:rFonts w:eastAsia="Times New Roman"/>
        </w:rPr>
        <w:t xml:space="preserve">&gt; </w:t>
      </w:r>
      <w:r w:rsidR="00C96FBE">
        <w:rPr>
          <w:rFonts w:eastAsia="Times New Roman"/>
        </w:rPr>
        <w:t>It has not been mentioned that the creativity of language is based on meta-usage (the poetic function according to Jakobson, i.e. implicit commentary o</w:t>
      </w:r>
      <w:r w:rsidR="006D20B1">
        <w:rPr>
          <w:rFonts w:eastAsia="Times New Roman"/>
        </w:rPr>
        <w:t>n</w:t>
      </w:r>
      <w:r w:rsidR="00C96FBE">
        <w:rPr>
          <w:rFonts w:eastAsia="Times New Roman"/>
        </w:rPr>
        <w:t xml:space="preserve"> form). This is what Fix means by “Deviation from the canon against the background of the canon” </w:t>
      </w:r>
      <w:r w:rsidRPr="00B706D4">
        <w:rPr>
          <w:rFonts w:eastAsia="Times New Roman"/>
        </w:rPr>
        <w:t>(</w:t>
      </w:r>
      <w:r w:rsidR="00C96FBE">
        <w:rPr>
          <w:rFonts w:eastAsia="Times New Roman"/>
        </w:rPr>
        <w:t>p</w:t>
      </w:r>
      <w:r w:rsidRPr="00B706D4">
        <w:rPr>
          <w:rFonts w:eastAsia="Times New Roman"/>
        </w:rPr>
        <w:t>. 12)</w:t>
      </w:r>
      <w:r w:rsidR="00C96FBE">
        <w:rPr>
          <w:rFonts w:eastAsia="Times New Roman"/>
        </w:rPr>
        <w:t>.</w:t>
      </w:r>
      <w:r w:rsidRPr="00B706D4">
        <w:rPr>
          <w:rFonts w:eastAsia="Times New Roman"/>
        </w:rPr>
        <w:t xml:space="preserve"> </w:t>
      </w:r>
    </w:p>
    <w:p w14:paraId="628E125F" w14:textId="295D84B0" w:rsidR="00582DA7" w:rsidRDefault="00582DA7" w:rsidP="00582DA7">
      <w:pPr>
        <w:spacing w:line="240" w:lineRule="auto"/>
        <w:ind w:left="284"/>
        <w:jc w:val="both"/>
        <w:outlineLvl w:val="1"/>
        <w:rPr>
          <w:rFonts w:eastAsia="Times New Roman"/>
          <w:i/>
          <w:iCs/>
        </w:rPr>
      </w:pPr>
      <w:r>
        <w:rPr>
          <w:rFonts w:eastAsia="Times New Roman"/>
        </w:rPr>
        <w:t xml:space="preserve">&gt; </w:t>
      </w:r>
      <w:r w:rsidR="00972A3C">
        <w:rPr>
          <w:rFonts w:eastAsia="Times New Roman"/>
        </w:rPr>
        <w:t xml:space="preserve">The name of the wordplay in examples like </w:t>
      </w:r>
      <w:r w:rsidRPr="00300000">
        <w:rPr>
          <w:rFonts w:eastAsia="Times New Roman"/>
          <w:i/>
          <w:iCs/>
        </w:rPr>
        <w:t>Augen-blick</w:t>
      </w:r>
      <w:r w:rsidRPr="00300000">
        <w:rPr>
          <w:rFonts w:eastAsia="Times New Roman"/>
        </w:rPr>
        <w:t xml:space="preserve"> </w:t>
      </w:r>
      <w:r w:rsidR="00972A3C">
        <w:rPr>
          <w:rFonts w:eastAsia="Times New Roman"/>
        </w:rPr>
        <w:t>p</w:t>
      </w:r>
      <w:r w:rsidR="00972A3C" w:rsidRPr="00300000">
        <w:rPr>
          <w:rFonts w:eastAsia="Times New Roman"/>
        </w:rPr>
        <w:t xml:space="preserve">.198 </w:t>
      </w:r>
      <w:r w:rsidR="00972A3C">
        <w:rPr>
          <w:rFonts w:eastAsia="Times New Roman"/>
        </w:rPr>
        <w:t xml:space="preserve">and </w:t>
      </w:r>
      <w:r w:rsidRPr="00300000">
        <w:rPr>
          <w:rFonts w:eastAsia="Times New Roman"/>
          <w:i/>
          <w:iCs/>
        </w:rPr>
        <w:t>Einzig. Nicht artig</w:t>
      </w:r>
      <w:r w:rsidRPr="00300000">
        <w:rPr>
          <w:rFonts w:eastAsia="Times New Roman"/>
        </w:rPr>
        <w:t>. Toblerone.</w:t>
      </w:r>
      <w:r w:rsidR="00972A3C" w:rsidRPr="00972A3C">
        <w:rPr>
          <w:rFonts w:eastAsia="Times New Roman"/>
        </w:rPr>
        <w:t xml:space="preserve"> </w:t>
      </w:r>
      <w:r w:rsidR="00972A3C">
        <w:rPr>
          <w:rFonts w:eastAsia="Times New Roman"/>
        </w:rPr>
        <w:t>p</w:t>
      </w:r>
      <w:r w:rsidR="00972A3C" w:rsidRPr="00300000">
        <w:rPr>
          <w:rFonts w:eastAsia="Times New Roman"/>
        </w:rPr>
        <w:t>.197</w:t>
      </w:r>
      <w:r w:rsidR="00972A3C" w:rsidRPr="00972A3C">
        <w:rPr>
          <w:rFonts w:eastAsia="Times New Roman"/>
        </w:rPr>
        <w:t xml:space="preserve"> </w:t>
      </w:r>
      <w:r w:rsidR="00972A3C">
        <w:rPr>
          <w:rFonts w:eastAsia="Times New Roman"/>
        </w:rPr>
        <w:t xml:space="preserve">is </w:t>
      </w:r>
      <w:r w:rsidR="00972A3C" w:rsidRPr="00972A3C">
        <w:rPr>
          <w:rFonts w:eastAsia="Times New Roman"/>
          <w:i/>
          <w:iCs/>
        </w:rPr>
        <w:t>Defamiliarization</w:t>
      </w:r>
      <w:r w:rsidR="00972A3C">
        <w:rPr>
          <w:rFonts w:eastAsia="Times New Roman"/>
          <w:i/>
          <w:iCs/>
        </w:rPr>
        <w:t>.</w:t>
      </w:r>
    </w:p>
    <w:p w14:paraId="03B820F8" w14:textId="5327E34A" w:rsidR="006D20B1" w:rsidRPr="006D20B1" w:rsidRDefault="006D20B1" w:rsidP="00582DA7">
      <w:pPr>
        <w:spacing w:line="240" w:lineRule="auto"/>
        <w:ind w:left="284"/>
        <w:jc w:val="both"/>
        <w:outlineLvl w:val="1"/>
        <w:rPr>
          <w:rFonts w:eastAsia="Times New Roman"/>
        </w:rPr>
      </w:pPr>
      <w:r>
        <w:rPr>
          <w:rFonts w:eastAsia="Times New Roman"/>
        </w:rPr>
        <w:t xml:space="preserve">&gt; There is no mention of </w:t>
      </w:r>
      <w:r w:rsidRPr="006D20B1">
        <w:rPr>
          <w:rFonts w:eastAsia="Times New Roman"/>
          <w:i/>
          <w:iCs/>
        </w:rPr>
        <w:t>intertextuality</w:t>
      </w:r>
      <w:r>
        <w:rPr>
          <w:rFonts w:eastAsia="Times New Roman"/>
        </w:rPr>
        <w:t xml:space="preserve"> despite the wealth of examples.</w:t>
      </w:r>
    </w:p>
    <w:p w14:paraId="3E49A483" w14:textId="26526774" w:rsidR="00972A3C" w:rsidRPr="00972A3C" w:rsidRDefault="00972A3C" w:rsidP="0087125A">
      <w:pPr>
        <w:pStyle w:val="ListParagraph"/>
        <w:numPr>
          <w:ilvl w:val="0"/>
          <w:numId w:val="3"/>
        </w:numPr>
        <w:tabs>
          <w:tab w:val="left" w:pos="567"/>
          <w:tab w:val="left" w:pos="720"/>
        </w:tabs>
        <w:spacing w:after="0" w:line="240" w:lineRule="auto"/>
        <w:ind w:left="270" w:firstLine="0"/>
        <w:jc w:val="both"/>
        <w:outlineLvl w:val="1"/>
        <w:rPr>
          <w:rFonts w:eastAsia="Times New Roman"/>
        </w:rPr>
      </w:pPr>
      <w:r w:rsidRPr="00972A3C">
        <w:rPr>
          <w:rFonts w:ascii="Times New Roman" w:eastAsia="Times New Roman" w:hAnsi="Times New Roman" w:cs="Times New Roman"/>
          <w:sz w:val="24"/>
          <w:szCs w:val="24"/>
          <w:lang w:val="en-US"/>
        </w:rPr>
        <w:t>The author does not demonstrate familiarity with the original sources for some of the approaches</w:t>
      </w:r>
      <w:r w:rsidR="006D20B1" w:rsidRPr="006D20B1">
        <w:rPr>
          <w:rFonts w:ascii="Times New Roman" w:eastAsia="Times New Roman" w:hAnsi="Times New Roman" w:cs="Times New Roman"/>
          <w:sz w:val="24"/>
          <w:szCs w:val="24"/>
          <w:lang w:val="en-US"/>
        </w:rPr>
        <w:t xml:space="preserve"> </w:t>
      </w:r>
      <w:r w:rsidR="006D20B1" w:rsidRPr="00972A3C">
        <w:rPr>
          <w:rFonts w:ascii="Times New Roman" w:eastAsia="Times New Roman" w:hAnsi="Times New Roman" w:cs="Times New Roman"/>
          <w:sz w:val="24"/>
          <w:szCs w:val="24"/>
          <w:lang w:val="en-US"/>
        </w:rPr>
        <w:t>applied</w:t>
      </w:r>
      <w:r w:rsidRPr="00972A3C">
        <w:rPr>
          <w:rFonts w:ascii="Times New Roman" w:eastAsia="Times New Roman" w:hAnsi="Times New Roman" w:cs="Times New Roman"/>
          <w:sz w:val="24"/>
          <w:szCs w:val="24"/>
          <w:lang w:val="en-US"/>
        </w:rPr>
        <w:t xml:space="preserve">, the interpretation of their main ideas is superficial and imprecise. </w:t>
      </w:r>
    </w:p>
    <w:p w14:paraId="2F2201CF" w14:textId="0214F209" w:rsidR="00582DA7" w:rsidRPr="003146AE" w:rsidRDefault="00582DA7" w:rsidP="00972A3C">
      <w:pPr>
        <w:pStyle w:val="ListParagraph"/>
        <w:tabs>
          <w:tab w:val="left" w:pos="567"/>
          <w:tab w:val="left" w:pos="720"/>
        </w:tabs>
        <w:spacing w:after="0" w:line="240" w:lineRule="auto"/>
        <w:ind w:left="270"/>
        <w:jc w:val="both"/>
        <w:outlineLvl w:val="1"/>
        <w:rPr>
          <w:rFonts w:ascii="Times New Roman" w:eastAsia="Times New Roman" w:hAnsi="Times New Roman" w:cs="Times New Roman"/>
          <w:sz w:val="24"/>
          <w:szCs w:val="24"/>
        </w:rPr>
      </w:pPr>
      <w:r>
        <w:t xml:space="preserve">&gt; </w:t>
      </w:r>
      <w:r w:rsidR="00972A3C" w:rsidRPr="003146AE">
        <w:rPr>
          <w:rFonts w:ascii="Times New Roman" w:hAnsi="Times New Roman" w:cs="Times New Roman"/>
          <w:sz w:val="24"/>
          <w:szCs w:val="24"/>
          <w:lang w:val="en-US"/>
        </w:rPr>
        <w:t xml:space="preserve">The </w:t>
      </w:r>
      <w:r w:rsidR="00972A3C" w:rsidRPr="003146AE">
        <w:rPr>
          <w:rFonts w:ascii="Times New Roman" w:hAnsi="Times New Roman" w:cs="Times New Roman"/>
          <w:sz w:val="24"/>
          <w:szCs w:val="24"/>
        </w:rPr>
        <w:t xml:space="preserve">Shannon-Weaver </w:t>
      </w:r>
      <w:r w:rsidR="00972A3C" w:rsidRPr="003146AE">
        <w:rPr>
          <w:rFonts w:ascii="Times New Roman" w:hAnsi="Times New Roman" w:cs="Times New Roman"/>
          <w:sz w:val="24"/>
          <w:szCs w:val="24"/>
          <w:lang w:val="en-US"/>
        </w:rPr>
        <w:t>model of communication</w:t>
      </w:r>
      <w:r w:rsidRPr="003146AE">
        <w:rPr>
          <w:rFonts w:ascii="Times New Roman" w:eastAsia="Times New Roman" w:hAnsi="Times New Roman" w:cs="Times New Roman"/>
          <w:sz w:val="24"/>
          <w:szCs w:val="24"/>
        </w:rPr>
        <w:t xml:space="preserve"> </w:t>
      </w:r>
      <w:r w:rsidRPr="003146AE">
        <w:rPr>
          <w:rFonts w:ascii="Times New Roman" w:hAnsi="Times New Roman" w:cs="Times New Roman"/>
          <w:sz w:val="24"/>
          <w:szCs w:val="24"/>
        </w:rPr>
        <w:t xml:space="preserve">(с. 25) </w:t>
      </w:r>
      <w:r w:rsidR="003146AE" w:rsidRPr="003146AE">
        <w:rPr>
          <w:rFonts w:ascii="Times New Roman" w:hAnsi="Times New Roman" w:cs="Times New Roman"/>
          <w:sz w:val="24"/>
          <w:szCs w:val="24"/>
          <w:lang w:val="en-US"/>
        </w:rPr>
        <w:t>has long been categorically rejected as suitable for representing language communication because the latter does not convey information but MEANING.</w:t>
      </w:r>
      <w:r w:rsidRPr="003146AE">
        <w:rPr>
          <w:rFonts w:ascii="Times New Roman" w:hAnsi="Times New Roman" w:cs="Times New Roman"/>
          <w:sz w:val="24"/>
          <w:szCs w:val="24"/>
        </w:rPr>
        <w:t xml:space="preserve"> </w:t>
      </w:r>
      <w:r w:rsidR="00CF759B">
        <w:rPr>
          <w:rFonts w:ascii="Times New Roman" w:hAnsi="Times New Roman" w:cs="Times New Roman"/>
          <w:sz w:val="24"/>
          <w:szCs w:val="24"/>
          <w:lang w:val="en-US"/>
        </w:rPr>
        <w:t>That is why statements like</w:t>
      </w:r>
      <w:r w:rsidRPr="003146AE">
        <w:rPr>
          <w:rFonts w:ascii="Times New Roman" w:hAnsi="Times New Roman" w:cs="Times New Roman"/>
          <w:sz w:val="24"/>
          <w:szCs w:val="24"/>
        </w:rPr>
        <w:t xml:space="preserve"> „</w:t>
      </w:r>
      <w:r w:rsidR="00CF759B">
        <w:rPr>
          <w:rFonts w:ascii="Times New Roman" w:hAnsi="Times New Roman" w:cs="Times New Roman"/>
          <w:sz w:val="24"/>
          <w:szCs w:val="24"/>
          <w:lang w:val="en-US"/>
        </w:rPr>
        <w:t xml:space="preserve">advertisements </w:t>
      </w:r>
      <w:r w:rsidR="00CF759B" w:rsidRPr="00CF759B">
        <w:rPr>
          <w:rFonts w:ascii="Times New Roman" w:hAnsi="Times New Roman" w:cs="Times New Roman"/>
          <w:b/>
          <w:bCs/>
          <w:sz w:val="24"/>
          <w:szCs w:val="24"/>
          <w:lang w:val="en-US"/>
        </w:rPr>
        <w:t>transport</w:t>
      </w:r>
      <w:r w:rsidR="00CF759B">
        <w:rPr>
          <w:rFonts w:ascii="Times New Roman" w:hAnsi="Times New Roman" w:cs="Times New Roman"/>
          <w:sz w:val="24"/>
          <w:szCs w:val="24"/>
          <w:lang w:val="en-US"/>
        </w:rPr>
        <w:t xml:space="preserve"> information from the producer to the buyer</w:t>
      </w:r>
      <w:r w:rsidR="006D20B1">
        <w:rPr>
          <w:rFonts w:ascii="Times New Roman" w:hAnsi="Times New Roman" w:cs="Times New Roman"/>
          <w:sz w:val="24"/>
          <w:szCs w:val="24"/>
        </w:rPr>
        <w:t>“</w:t>
      </w:r>
      <w:r w:rsidR="00CF759B">
        <w:rPr>
          <w:rFonts w:ascii="Times New Roman" w:hAnsi="Times New Roman" w:cs="Times New Roman"/>
          <w:sz w:val="24"/>
          <w:szCs w:val="24"/>
          <w:lang w:val="en-US"/>
        </w:rPr>
        <w:t xml:space="preserve"> </w:t>
      </w:r>
      <w:r w:rsidRPr="003146AE">
        <w:rPr>
          <w:rFonts w:ascii="Times New Roman" w:hAnsi="Times New Roman" w:cs="Times New Roman"/>
          <w:sz w:val="24"/>
          <w:szCs w:val="24"/>
        </w:rPr>
        <w:t>(</w:t>
      </w:r>
      <w:r w:rsidR="006D20B1">
        <w:rPr>
          <w:rFonts w:ascii="Times New Roman" w:hAnsi="Times New Roman" w:cs="Times New Roman"/>
          <w:sz w:val="24"/>
          <w:szCs w:val="24"/>
          <w:lang w:val="en-US"/>
        </w:rPr>
        <w:t>p</w:t>
      </w:r>
      <w:r w:rsidRPr="003146AE">
        <w:rPr>
          <w:rFonts w:ascii="Times New Roman" w:hAnsi="Times New Roman" w:cs="Times New Roman"/>
          <w:sz w:val="24"/>
          <w:szCs w:val="24"/>
        </w:rPr>
        <w:t xml:space="preserve">. 8) </w:t>
      </w:r>
      <w:r w:rsidR="00CF759B">
        <w:rPr>
          <w:rFonts w:ascii="Times New Roman" w:hAnsi="Times New Roman" w:cs="Times New Roman"/>
          <w:sz w:val="24"/>
          <w:szCs w:val="24"/>
          <w:lang w:val="en-US"/>
        </w:rPr>
        <w:t>does not make sense.</w:t>
      </w:r>
      <w:r w:rsidR="00E8664E">
        <w:rPr>
          <w:rFonts w:ascii="Times New Roman" w:hAnsi="Times New Roman" w:cs="Times New Roman"/>
          <w:sz w:val="24"/>
          <w:szCs w:val="24"/>
          <w:lang w:val="en-US"/>
        </w:rPr>
        <w:t xml:space="preserve"> Towards the end of the book it becomes evident that such language is used by the neuromarketing specialists </w:t>
      </w:r>
      <w:r w:rsidRPr="003146AE">
        <w:rPr>
          <w:rFonts w:ascii="Times New Roman" w:hAnsi="Times New Roman" w:cs="Times New Roman"/>
          <w:sz w:val="24"/>
          <w:szCs w:val="24"/>
        </w:rPr>
        <w:t xml:space="preserve">Scheier </w:t>
      </w:r>
      <w:r w:rsidR="00E8664E">
        <w:rPr>
          <w:rFonts w:ascii="Times New Roman" w:hAnsi="Times New Roman" w:cs="Times New Roman"/>
          <w:sz w:val="24"/>
          <w:szCs w:val="24"/>
          <w:lang w:val="en-US"/>
        </w:rPr>
        <w:t>and</w:t>
      </w:r>
      <w:r w:rsidRPr="003146AE">
        <w:rPr>
          <w:rFonts w:ascii="Times New Roman" w:hAnsi="Times New Roman" w:cs="Times New Roman"/>
          <w:sz w:val="24"/>
          <w:szCs w:val="24"/>
        </w:rPr>
        <w:t xml:space="preserve"> Held. </w:t>
      </w:r>
      <w:r w:rsidR="00E8664E">
        <w:rPr>
          <w:rFonts w:ascii="Times New Roman" w:hAnsi="Times New Roman" w:cs="Times New Roman"/>
          <w:sz w:val="24"/>
          <w:szCs w:val="24"/>
          <w:lang w:val="en-US"/>
        </w:rPr>
        <w:t xml:space="preserve">It is dangerous to borrow their usage of the term </w:t>
      </w:r>
      <w:r w:rsidR="00E8664E" w:rsidRPr="00E8664E">
        <w:rPr>
          <w:rFonts w:ascii="Times New Roman" w:hAnsi="Times New Roman" w:cs="Times New Roman"/>
          <w:i/>
          <w:iCs/>
          <w:sz w:val="24"/>
          <w:szCs w:val="24"/>
          <w:lang w:val="en-US"/>
        </w:rPr>
        <w:t>code</w:t>
      </w:r>
      <w:r w:rsidR="00E8664E">
        <w:rPr>
          <w:rFonts w:ascii="Times New Roman" w:hAnsi="Times New Roman" w:cs="Times New Roman"/>
          <w:sz w:val="24"/>
          <w:szCs w:val="24"/>
          <w:lang w:val="en-US"/>
        </w:rPr>
        <w:t xml:space="preserve"> for a linguistic analysis</w:t>
      </w:r>
      <w:r w:rsidR="006D20B1">
        <w:rPr>
          <w:rFonts w:ascii="Times New Roman" w:hAnsi="Times New Roman" w:cs="Times New Roman"/>
          <w:sz w:val="24"/>
          <w:szCs w:val="24"/>
          <w:lang w:val="en-US"/>
        </w:rPr>
        <w:t xml:space="preserve"> since</w:t>
      </w:r>
      <w:r w:rsidR="00E8664E">
        <w:rPr>
          <w:rFonts w:ascii="Times New Roman" w:hAnsi="Times New Roman" w:cs="Times New Roman"/>
          <w:sz w:val="24"/>
          <w:szCs w:val="24"/>
          <w:lang w:val="en-US"/>
        </w:rPr>
        <w:t xml:space="preserve"> these authors are not semioticians. Their qualification</w:t>
      </w:r>
      <w:r w:rsidR="006D20B1">
        <w:rPr>
          <w:rFonts w:ascii="Times New Roman" w:hAnsi="Times New Roman" w:cs="Times New Roman"/>
          <w:sz w:val="24"/>
          <w:szCs w:val="24"/>
          <w:lang w:val="en-US"/>
        </w:rPr>
        <w:t>s</w:t>
      </w:r>
      <w:r w:rsidR="00E8664E">
        <w:rPr>
          <w:rFonts w:ascii="Times New Roman" w:hAnsi="Times New Roman" w:cs="Times New Roman"/>
          <w:sz w:val="24"/>
          <w:szCs w:val="24"/>
          <w:lang w:val="en-US"/>
        </w:rPr>
        <w:t xml:space="preserve"> </w:t>
      </w:r>
      <w:r w:rsidR="006D20B1">
        <w:rPr>
          <w:rFonts w:ascii="Times New Roman" w:hAnsi="Times New Roman" w:cs="Times New Roman"/>
          <w:sz w:val="24"/>
          <w:szCs w:val="24"/>
          <w:lang w:val="en-US"/>
        </w:rPr>
        <w:t>are</w:t>
      </w:r>
      <w:r w:rsidR="00E8664E">
        <w:rPr>
          <w:rFonts w:ascii="Times New Roman" w:hAnsi="Times New Roman" w:cs="Times New Roman"/>
          <w:sz w:val="24"/>
          <w:szCs w:val="24"/>
          <w:lang w:val="en-US"/>
        </w:rPr>
        <w:t xml:space="preserve"> in the fields of (neuro)psychology and psychophysics. </w:t>
      </w:r>
    </w:p>
    <w:p w14:paraId="46AC1DC4" w14:textId="5F3F9174" w:rsidR="00582DA7" w:rsidRPr="00025C53" w:rsidRDefault="00582DA7" w:rsidP="00582DA7">
      <w:pPr>
        <w:tabs>
          <w:tab w:val="left" w:pos="720"/>
        </w:tabs>
        <w:spacing w:line="240" w:lineRule="auto"/>
        <w:ind w:left="270" w:firstLine="14"/>
        <w:jc w:val="both"/>
        <w:outlineLvl w:val="1"/>
      </w:pPr>
      <w:r>
        <w:rPr>
          <w:rFonts w:eastAsia="Times New Roman"/>
        </w:rPr>
        <w:t xml:space="preserve">&gt; </w:t>
      </w:r>
      <w:r w:rsidR="00E8664E">
        <w:rPr>
          <w:rFonts w:eastAsia="Times New Roman"/>
        </w:rPr>
        <w:t xml:space="preserve">If </w:t>
      </w:r>
      <w:r w:rsidR="00E8664E" w:rsidRPr="00025C53">
        <w:rPr>
          <w:rFonts w:eastAsia="Times New Roman"/>
          <w:kern w:val="36"/>
          <w:lang w:eastAsia="bg-BG"/>
        </w:rPr>
        <w:t>Theo Herrmann</w:t>
      </w:r>
      <w:r w:rsidR="00E8664E">
        <w:rPr>
          <w:rFonts w:eastAsia="Times New Roman"/>
          <w:kern w:val="36"/>
          <w:lang w:eastAsia="bg-BG"/>
        </w:rPr>
        <w:t xml:space="preserve">’s criticism of the </w:t>
      </w:r>
      <w:r w:rsidR="00E8664E" w:rsidRPr="00025C53">
        <w:t xml:space="preserve">Shannon-Weaver </w:t>
      </w:r>
      <w:r w:rsidR="00E8664E">
        <w:t xml:space="preserve">model is not mentioned, why is his name referred to at all? </w:t>
      </w:r>
      <w:r w:rsidRPr="00025C53">
        <w:rPr>
          <w:rFonts w:eastAsia="Times New Roman"/>
        </w:rPr>
        <w:t>(</w:t>
      </w:r>
      <w:r w:rsidR="00E8664E">
        <w:rPr>
          <w:rFonts w:eastAsia="Times New Roman"/>
        </w:rPr>
        <w:t>p</w:t>
      </w:r>
      <w:r w:rsidRPr="00025C53">
        <w:rPr>
          <w:rFonts w:eastAsia="Times New Roman"/>
        </w:rPr>
        <w:t xml:space="preserve">. </w:t>
      </w:r>
      <w:r w:rsidRPr="00025C53">
        <w:t xml:space="preserve">25, </w:t>
      </w:r>
      <w:r w:rsidR="00E8664E">
        <w:t>cf</w:t>
      </w:r>
      <w:r w:rsidRPr="00025C53">
        <w:t xml:space="preserve">. </w:t>
      </w:r>
      <w:r w:rsidRPr="00025C53">
        <w:rPr>
          <w:rFonts w:eastAsia="Times New Roman"/>
          <w:kern w:val="36"/>
          <w:lang w:eastAsia="bg-BG"/>
        </w:rPr>
        <w:t xml:space="preserve">Theo Herrmann, </w:t>
      </w:r>
      <w:r w:rsidRPr="00025C53">
        <w:rPr>
          <w:rFonts w:eastAsia="Times New Roman"/>
          <w:i/>
          <w:iCs/>
          <w:kern w:val="36"/>
          <w:lang w:eastAsia="bg-BG"/>
        </w:rPr>
        <w:t>Sprache verwenden. Funktionen - Evolution – Prozesse</w:t>
      </w:r>
      <w:r w:rsidRPr="00025C53">
        <w:rPr>
          <w:rFonts w:eastAsia="Times New Roman"/>
          <w:kern w:val="36"/>
          <w:lang w:eastAsia="bg-BG"/>
        </w:rPr>
        <w:t xml:space="preserve">. </w:t>
      </w:r>
      <w:hyperlink r:id="rId7" w:tgtFrame="_blank" w:history="1">
        <w:r w:rsidRPr="00025C53">
          <w:rPr>
            <w:rFonts w:eastAsia="Times New Roman"/>
            <w:kern w:val="36"/>
            <w:lang w:eastAsia="bg-BG"/>
          </w:rPr>
          <w:t>Verlag W. Kohlhammer</w:t>
        </w:r>
      </w:hyperlink>
      <w:r w:rsidRPr="00025C53">
        <w:rPr>
          <w:rFonts w:eastAsia="Times New Roman"/>
          <w:kern w:val="36"/>
          <w:lang w:eastAsia="bg-BG"/>
        </w:rPr>
        <w:t xml:space="preserve"> (Stuttgart) 2005</w:t>
      </w:r>
      <w:r w:rsidRPr="00025C53">
        <w:t>)</w:t>
      </w:r>
      <w:r w:rsidR="00E8664E">
        <w:rPr>
          <w:rFonts w:eastAsia="Times New Roman"/>
        </w:rPr>
        <w:t>.</w:t>
      </w:r>
      <w:r>
        <w:rPr>
          <w:rFonts w:eastAsia="Times New Roman"/>
        </w:rPr>
        <w:t xml:space="preserve"> </w:t>
      </w:r>
    </w:p>
    <w:p w14:paraId="1AF40A4F" w14:textId="2B41D969" w:rsidR="00E8664E" w:rsidRPr="00300000" w:rsidRDefault="00E8664E" w:rsidP="00E8664E">
      <w:pPr>
        <w:tabs>
          <w:tab w:val="left" w:pos="720"/>
        </w:tabs>
        <w:spacing w:line="240" w:lineRule="auto"/>
        <w:ind w:left="270"/>
        <w:jc w:val="both"/>
        <w:outlineLvl w:val="1"/>
        <w:rPr>
          <w:rFonts w:eastAsia="Times New Roman"/>
        </w:rPr>
      </w:pPr>
      <w:r>
        <w:rPr>
          <w:lang w:val="bg-BG"/>
        </w:rPr>
        <w:t xml:space="preserve">&gt; </w:t>
      </w:r>
      <w:r>
        <w:t>Through Sheier and Held’s publications Dr. Furkova refers in passi</w:t>
      </w:r>
      <w:r w:rsidR="00FD3379">
        <w:t>ng</w:t>
      </w:r>
      <w:r>
        <w:t xml:space="preserve"> </w:t>
      </w:r>
      <w:r w:rsidR="00FD3379">
        <w:t>to</w:t>
      </w:r>
      <w:r w:rsidRPr="00300000">
        <w:t xml:space="preserve"> </w:t>
      </w:r>
      <w:r w:rsidR="00FD3379">
        <w:t xml:space="preserve">the heuristics formulated by Daniel Kahneman </w:t>
      </w:r>
      <w:r w:rsidRPr="00300000">
        <w:t xml:space="preserve"> (</w:t>
      </w:r>
      <w:r w:rsidR="00FD3379">
        <w:t>better known as system 1 and 2, not A and B</w:t>
      </w:r>
      <w:r w:rsidRPr="00300000">
        <w:t xml:space="preserve">, </w:t>
      </w:r>
      <w:r w:rsidR="00FD3379">
        <w:t>p</w:t>
      </w:r>
      <w:r w:rsidRPr="00300000">
        <w:t xml:space="preserve">. 223). </w:t>
      </w:r>
      <w:r w:rsidR="00FD3379">
        <w:t xml:space="preserve">The idea of a quick and a slow mode of thinking has been applied to the analysis of figurative </w:t>
      </w:r>
      <w:r w:rsidR="00FD3379">
        <w:lastRenderedPageBreak/>
        <w:t>language too and would have been of great use in the analysis of the effect of a given creative suggestion (for bibliography cf.</w:t>
      </w:r>
      <w:r w:rsidRPr="00300000">
        <w:rPr>
          <w:rFonts w:ascii="Constantia-BoldItalic" w:hAnsi="Constantia-BoldItalic"/>
          <w:b/>
          <w:bCs/>
          <w:color w:val="000000"/>
          <w:sz w:val="52"/>
          <w:szCs w:val="52"/>
        </w:rPr>
        <w:t xml:space="preserve"> </w:t>
      </w:r>
      <w:r w:rsidRPr="00300000">
        <w:rPr>
          <w:color w:val="000000"/>
        </w:rPr>
        <w:t xml:space="preserve">Kovatcheva M., “Language games: ‘being’ and ‘description’”, </w:t>
      </w:r>
      <w:r w:rsidR="00FD3379">
        <w:rPr>
          <w:color w:val="000000"/>
        </w:rPr>
        <w:t>in</w:t>
      </w:r>
      <w:r w:rsidRPr="0016344A">
        <w:t xml:space="preserve"> </w:t>
      </w:r>
      <w:r w:rsidRPr="00300000">
        <w:rPr>
          <w:i/>
          <w:iCs/>
          <w:color w:val="000000"/>
        </w:rPr>
        <w:t xml:space="preserve">Trees of knowledge: roots and routes. </w:t>
      </w:r>
      <w:r w:rsidRPr="00300000">
        <w:rPr>
          <w:color w:val="000000"/>
        </w:rPr>
        <w:t>Essays in Honour of Michael Grancharov</w:t>
      </w:r>
      <w:r w:rsidRPr="00300000">
        <w:t xml:space="preserve">. </w:t>
      </w:r>
      <w:r w:rsidRPr="00300000">
        <w:rPr>
          <w:color w:val="000000"/>
        </w:rPr>
        <w:t>Plovdiv University Press 2016</w:t>
      </w:r>
      <w:r w:rsidRPr="00300000">
        <w:t xml:space="preserve">). </w:t>
      </w:r>
      <w:r w:rsidR="00FD3379">
        <w:t xml:space="preserve">In the text of the book under review, however, there is </w:t>
      </w:r>
      <w:r w:rsidR="002170C2">
        <w:t>an obvious bias in the direction of marketing rather than “language”</w:t>
      </w:r>
      <w:r w:rsidRPr="00300000">
        <w:t>.</w:t>
      </w:r>
    </w:p>
    <w:p w14:paraId="1F3C46C7" w14:textId="47C16CC0" w:rsidR="00E8664E" w:rsidRPr="00080F81" w:rsidRDefault="00E8664E" w:rsidP="00E8664E">
      <w:pPr>
        <w:spacing w:line="240" w:lineRule="auto"/>
        <w:ind w:left="284"/>
        <w:jc w:val="both"/>
        <w:outlineLvl w:val="1"/>
        <w:rPr>
          <w:rFonts w:eastAsia="Times New Roman"/>
        </w:rPr>
      </w:pPr>
      <w:r>
        <w:t xml:space="preserve">&gt; </w:t>
      </w:r>
      <w:r w:rsidR="002170C2">
        <w:t xml:space="preserve">Another fairly simplistically represented theory is Hofstede’s which formulates some cultural correlations. Hofstede and collaborators have pointed out more than once that the dichotomy individualistic-collectivistic society </w:t>
      </w:r>
      <w:r w:rsidR="00823A74">
        <w:t>is based on combinati</w:t>
      </w:r>
      <w:r w:rsidR="006D20B1">
        <w:t>o</w:t>
      </w:r>
      <w:r w:rsidR="00823A74">
        <w:t>ns of 5 correlations</w:t>
      </w:r>
      <w:r w:rsidRPr="00080F81">
        <w:t xml:space="preserve"> </w:t>
      </w:r>
      <w:r w:rsidR="00823A74">
        <w:t>and has no causative force</w:t>
      </w:r>
      <w:r w:rsidRPr="00080F81">
        <w:t>.</w:t>
      </w:r>
      <w:r w:rsidR="00823A74">
        <w:t xml:space="preserve"> It is a pity that the candidate has not used data about Bulgaria</w:t>
      </w:r>
      <w:r w:rsidR="00823A74" w:rsidRPr="00823A74">
        <w:t xml:space="preserve"> </w:t>
      </w:r>
      <w:r w:rsidR="00823A74">
        <w:t xml:space="preserve">by Mikhail Minkov </w:t>
      </w:r>
      <w:r w:rsidR="006D20B1">
        <w:t>(</w:t>
      </w:r>
      <w:r w:rsidR="00823A74">
        <w:t>recognized as co-author of the theory</w:t>
      </w:r>
      <w:r w:rsidR="00AA6989">
        <w:t>)</w:t>
      </w:r>
      <w:r w:rsidR="00823A74">
        <w:t xml:space="preserve"> neither in her book nor in No. 2 </w:t>
      </w:r>
    </w:p>
    <w:p w14:paraId="6673FE1B" w14:textId="21A388BE" w:rsidR="00E8664E" w:rsidRPr="00080F81" w:rsidRDefault="00E8664E" w:rsidP="00E8664E">
      <w:pPr>
        <w:spacing w:line="240" w:lineRule="auto"/>
        <w:ind w:left="284"/>
        <w:jc w:val="both"/>
        <w:outlineLvl w:val="1"/>
        <w:rPr>
          <w:rFonts w:eastAsia="Times New Roman"/>
        </w:rPr>
      </w:pPr>
      <w:r>
        <w:rPr>
          <w:rFonts w:eastAsia="Times New Roman"/>
        </w:rPr>
        <w:t xml:space="preserve">&gt; </w:t>
      </w:r>
      <w:r w:rsidR="00823A74">
        <w:rPr>
          <w:rFonts w:eastAsia="Times New Roman"/>
        </w:rPr>
        <w:t xml:space="preserve">Another term used in passing and not borrowed from the original source </w:t>
      </w:r>
      <w:r w:rsidR="00823A74" w:rsidRPr="0061513F">
        <w:rPr>
          <w:rFonts w:eastAsia="Times New Roman"/>
        </w:rPr>
        <w:t>is</w:t>
      </w:r>
      <w:r w:rsidR="00823A74" w:rsidRPr="0061513F">
        <w:rPr>
          <w:rFonts w:eastAsia="Times New Roman"/>
          <w:i/>
          <w:iCs/>
        </w:rPr>
        <w:t xml:space="preserve"> anti-</w:t>
      </w:r>
      <w:r w:rsidR="0061513F" w:rsidRPr="0061513F">
        <w:rPr>
          <w:rFonts w:eastAsia="Times New Roman"/>
          <w:i/>
          <w:iCs/>
        </w:rPr>
        <w:t>language</w:t>
      </w:r>
      <w:r w:rsidR="0061513F">
        <w:rPr>
          <w:rFonts w:eastAsia="Times New Roman"/>
        </w:rPr>
        <w:t xml:space="preserve"> </w:t>
      </w:r>
      <w:r w:rsidR="00AA6989">
        <w:rPr>
          <w:rFonts w:eastAsia="Times New Roman"/>
        </w:rPr>
        <w:t>(</w:t>
      </w:r>
      <w:r w:rsidR="0061513F">
        <w:rPr>
          <w:rFonts w:eastAsia="Times New Roman"/>
        </w:rPr>
        <w:t>p</w:t>
      </w:r>
      <w:r>
        <w:rPr>
          <w:rFonts w:eastAsia="Times New Roman"/>
        </w:rPr>
        <w:t xml:space="preserve">. </w:t>
      </w:r>
      <w:r w:rsidRPr="00080F81">
        <w:rPr>
          <w:rFonts w:eastAsia="Times New Roman"/>
        </w:rPr>
        <w:t>30</w:t>
      </w:r>
      <w:r>
        <w:rPr>
          <w:rFonts w:eastAsia="Times New Roman"/>
        </w:rPr>
        <w:t>):</w:t>
      </w:r>
      <w:r w:rsidRPr="00080F81">
        <w:rPr>
          <w:rFonts w:eastAsia="Times New Roman"/>
        </w:rPr>
        <w:t xml:space="preserve"> “онова, което характеризира рекламния език, наречен още от Янушек „анти-език“ (1976), е стремежът му да бъде необикновен“. </w:t>
      </w:r>
      <w:r w:rsidR="0061513F">
        <w:rPr>
          <w:rFonts w:eastAsia="Times New Roman"/>
        </w:rPr>
        <w:t>Whoever Januszek is</w:t>
      </w:r>
      <w:r w:rsidRPr="00080F81">
        <w:rPr>
          <w:rFonts w:eastAsia="Times New Roman"/>
        </w:rPr>
        <w:t xml:space="preserve"> (</w:t>
      </w:r>
      <w:r w:rsidR="0061513F">
        <w:rPr>
          <w:rFonts w:eastAsia="Times New Roman"/>
        </w:rPr>
        <w:t>he is not in the bibliography</w:t>
      </w:r>
      <w:r w:rsidRPr="00080F81">
        <w:rPr>
          <w:rFonts w:eastAsia="Times New Roman"/>
        </w:rPr>
        <w:t xml:space="preserve">), </w:t>
      </w:r>
      <w:r w:rsidR="0061513F">
        <w:rPr>
          <w:rFonts w:eastAsia="Times New Roman"/>
        </w:rPr>
        <w:t>the term’s author is Michael Halliday</w:t>
      </w:r>
      <w:r>
        <w:rPr>
          <w:rFonts w:eastAsia="Times New Roman"/>
        </w:rPr>
        <w:t>,</w:t>
      </w:r>
      <w:r w:rsidR="0061513F">
        <w:rPr>
          <w:rFonts w:eastAsia="Times New Roman"/>
        </w:rPr>
        <w:t xml:space="preserve"> a linguist of world renown</w:t>
      </w:r>
      <w:r w:rsidRPr="00080F81">
        <w:rPr>
          <w:rFonts w:eastAsia="Times New Roman"/>
        </w:rPr>
        <w:t xml:space="preserve">. </w:t>
      </w:r>
      <w:r w:rsidR="0061513F">
        <w:rPr>
          <w:rFonts w:eastAsia="Times New Roman"/>
        </w:rPr>
        <w:t xml:space="preserve">According to him </w:t>
      </w:r>
      <w:r w:rsidR="0061513F" w:rsidRPr="0061513F">
        <w:rPr>
          <w:rFonts w:eastAsia="Times New Roman"/>
          <w:i/>
          <w:iCs/>
        </w:rPr>
        <w:t>anti-language</w:t>
      </w:r>
      <w:r w:rsidR="0061513F" w:rsidRPr="00080F81">
        <w:rPr>
          <w:rFonts w:eastAsia="Times New Roman"/>
        </w:rPr>
        <w:t xml:space="preserve"> </w:t>
      </w:r>
      <w:r w:rsidR="0061513F">
        <w:rPr>
          <w:rFonts w:eastAsia="Times New Roman"/>
        </w:rPr>
        <w:t>is a language which is so deformed that it excludes certain members of the community from communication. That is, the term is not suitable for “the language of advertising”.</w:t>
      </w:r>
      <w:r w:rsidRPr="00080F81">
        <w:rPr>
          <w:rFonts w:eastAsia="Times New Roman"/>
        </w:rPr>
        <w:t xml:space="preserve"> </w:t>
      </w:r>
    </w:p>
    <w:p w14:paraId="0AE84C65" w14:textId="34508E51" w:rsidR="00E8664E" w:rsidRPr="009E5BA4" w:rsidRDefault="00E8664E" w:rsidP="00E8664E">
      <w:pPr>
        <w:spacing w:line="240" w:lineRule="auto"/>
        <w:ind w:left="270"/>
        <w:jc w:val="both"/>
        <w:outlineLvl w:val="1"/>
        <w:rPr>
          <w:rFonts w:eastAsia="Times New Roman"/>
        </w:rPr>
      </w:pPr>
      <w:r>
        <w:t xml:space="preserve">&gt; </w:t>
      </w:r>
      <w:r w:rsidR="0061513F">
        <w:t>Underrepresented is the idea of</w:t>
      </w:r>
      <w:r w:rsidRPr="009E5BA4">
        <w:t xml:space="preserve"> </w:t>
      </w:r>
      <w:r w:rsidR="0061513F" w:rsidRPr="0061513F">
        <w:rPr>
          <w:i/>
          <w:iCs/>
        </w:rPr>
        <w:t xml:space="preserve">Framing </w:t>
      </w:r>
      <w:r w:rsidR="0061513F">
        <w:t xml:space="preserve">in communication. The term was introduced by Erving Goffman and is widely used in pragmatic analysis. </w:t>
      </w:r>
      <w:r w:rsidRPr="009E5BA4">
        <w:t xml:space="preserve"> </w:t>
      </w:r>
      <w:r w:rsidR="00E812C0">
        <w:t>It has been mentioned in passing as “framing effect”</w:t>
      </w:r>
      <w:r w:rsidRPr="009E5BA4">
        <w:t xml:space="preserve"> (</w:t>
      </w:r>
      <w:r w:rsidR="00E812C0">
        <w:t>p</w:t>
      </w:r>
      <w:r w:rsidRPr="009E5BA4">
        <w:t xml:space="preserve">. </w:t>
      </w:r>
      <w:r w:rsidRPr="009E5BA4">
        <w:rPr>
          <w:rFonts w:eastAsia="Times New Roman"/>
        </w:rPr>
        <w:t xml:space="preserve">223). </w:t>
      </w:r>
      <w:r w:rsidR="00680E99">
        <w:rPr>
          <w:rFonts w:eastAsia="Times New Roman"/>
        </w:rPr>
        <w:t>Actually, the concept coincide</w:t>
      </w:r>
      <w:r w:rsidR="00AA6989">
        <w:rPr>
          <w:rFonts w:eastAsia="Times New Roman"/>
        </w:rPr>
        <w:t>s</w:t>
      </w:r>
      <w:r w:rsidR="00680E99">
        <w:rPr>
          <w:rFonts w:eastAsia="Times New Roman"/>
        </w:rPr>
        <w:t xml:space="preserve"> with the creation of a script (consciously or unconsciously) within which a series of actions or judgements make sense as organization of experience. Conscious framing is the name for the way the initiator of communication defines and structures every piece of information. So frame or script would have been more suitable translations to avoid the ambiguous Bulgarian</w:t>
      </w:r>
      <w:r w:rsidRPr="009E5BA4">
        <w:rPr>
          <w:rFonts w:eastAsia="Times New Roman"/>
        </w:rPr>
        <w:t xml:space="preserve"> „инсцениране“.</w:t>
      </w:r>
    </w:p>
    <w:p w14:paraId="0CC77877" w14:textId="11708CE6" w:rsidR="00E8664E" w:rsidRPr="00933DC5" w:rsidRDefault="00680E99" w:rsidP="00E8664E">
      <w:pPr>
        <w:pStyle w:val="ListParagraph"/>
        <w:numPr>
          <w:ilvl w:val="0"/>
          <w:numId w:val="1"/>
        </w:numPr>
        <w:spacing w:after="0" w:line="240" w:lineRule="auto"/>
        <w:ind w:left="270" w:firstLine="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The analyses would be less subjective if informants were included in an experiment. </w:t>
      </w:r>
      <w:r w:rsidR="00346FE9">
        <w:rPr>
          <w:rFonts w:ascii="Times New Roman" w:eastAsia="Times New Roman" w:hAnsi="Times New Roman" w:cs="Times New Roman"/>
          <w:sz w:val="24"/>
          <w:szCs w:val="24"/>
          <w:lang w:val="en-US"/>
        </w:rPr>
        <w:t>An</w:t>
      </w:r>
      <w:r>
        <w:rPr>
          <w:rFonts w:ascii="Times New Roman" w:eastAsia="Times New Roman" w:hAnsi="Times New Roman" w:cs="Times New Roman"/>
          <w:sz w:val="24"/>
          <w:szCs w:val="24"/>
          <w:lang w:val="en-US"/>
        </w:rPr>
        <w:t xml:space="preserve"> instance</w:t>
      </w:r>
      <w:r w:rsidR="00346FE9">
        <w:rPr>
          <w:rFonts w:ascii="Times New Roman" w:eastAsia="Times New Roman" w:hAnsi="Times New Roman" w:cs="Times New Roman"/>
          <w:sz w:val="24"/>
          <w:szCs w:val="24"/>
          <w:lang w:val="en-US"/>
        </w:rPr>
        <w:t xml:space="preserve"> of subjectivity in </w:t>
      </w:r>
      <w:r w:rsidR="00E8664E" w:rsidRPr="00933DC5">
        <w:rPr>
          <w:rFonts w:ascii="Times New Roman" w:eastAsia="Times New Roman" w:hAnsi="Times New Roman" w:cs="Times New Roman"/>
          <w:sz w:val="24"/>
          <w:szCs w:val="24"/>
        </w:rPr>
        <w:t xml:space="preserve">№ 2 </w:t>
      </w:r>
      <w:r w:rsidR="00346FE9">
        <w:rPr>
          <w:rFonts w:ascii="Times New Roman" w:eastAsia="Times New Roman" w:hAnsi="Times New Roman" w:cs="Times New Roman"/>
          <w:sz w:val="24"/>
          <w:szCs w:val="24"/>
          <w:lang w:val="en-US"/>
        </w:rPr>
        <w:t xml:space="preserve">is the discussion of Lidl’s slogan in Bulgarian </w:t>
      </w:r>
      <w:r w:rsidR="00E8664E" w:rsidRPr="00933DC5">
        <w:rPr>
          <w:rFonts w:ascii="Times New Roman" w:eastAsia="Times New Roman" w:hAnsi="Times New Roman" w:cs="Times New Roman"/>
          <w:i/>
          <w:iCs/>
          <w:sz w:val="24"/>
          <w:szCs w:val="24"/>
        </w:rPr>
        <w:t>Вече знаеш защо</w:t>
      </w:r>
      <w:r w:rsidR="00346FE9">
        <w:rPr>
          <w:rFonts w:ascii="Times New Roman" w:eastAsia="Times New Roman" w:hAnsi="Times New Roman" w:cs="Times New Roman"/>
          <w:i/>
          <w:iCs/>
          <w:sz w:val="24"/>
          <w:szCs w:val="24"/>
          <w:lang w:val="en-US"/>
        </w:rPr>
        <w:t xml:space="preserve">. </w:t>
      </w:r>
      <w:r w:rsidR="00346FE9">
        <w:rPr>
          <w:rFonts w:ascii="Times New Roman" w:eastAsia="Times New Roman" w:hAnsi="Times New Roman" w:cs="Times New Roman"/>
          <w:sz w:val="24"/>
          <w:szCs w:val="24"/>
          <w:lang w:val="en-US"/>
        </w:rPr>
        <w:t>It is totally arbitrary and counterfactual. As can be seen from the adverb</w:t>
      </w:r>
      <w:r w:rsidR="00E8664E" w:rsidRPr="00933DC5">
        <w:rPr>
          <w:rFonts w:ascii="Times New Roman" w:eastAsia="Times New Roman" w:hAnsi="Times New Roman" w:cs="Times New Roman"/>
          <w:sz w:val="24"/>
          <w:szCs w:val="24"/>
        </w:rPr>
        <w:t xml:space="preserve"> </w:t>
      </w:r>
      <w:r w:rsidR="00E8664E" w:rsidRPr="00933DC5">
        <w:rPr>
          <w:rFonts w:ascii="Times New Roman" w:eastAsia="Times New Roman" w:hAnsi="Times New Roman" w:cs="Times New Roman"/>
          <w:i/>
          <w:iCs/>
          <w:sz w:val="24"/>
          <w:szCs w:val="24"/>
        </w:rPr>
        <w:t>вече</w:t>
      </w:r>
      <w:r w:rsidR="00E8664E" w:rsidRPr="00933DC5">
        <w:rPr>
          <w:rFonts w:ascii="Times New Roman" w:eastAsia="Times New Roman" w:hAnsi="Times New Roman" w:cs="Times New Roman"/>
          <w:sz w:val="24"/>
          <w:szCs w:val="24"/>
        </w:rPr>
        <w:t xml:space="preserve">, </w:t>
      </w:r>
      <w:r w:rsidR="00346FE9">
        <w:rPr>
          <w:rFonts w:ascii="Times New Roman" w:eastAsia="Times New Roman" w:hAnsi="Times New Roman" w:cs="Times New Roman"/>
          <w:sz w:val="24"/>
          <w:szCs w:val="24"/>
          <w:lang w:val="en-US"/>
        </w:rPr>
        <w:t xml:space="preserve">the slogan refers to the TV commercial explaining why Lidl can afford to sell good quality goods for less money. In practice it was an explanation of the original </w:t>
      </w:r>
      <w:r w:rsidR="00E8664E" w:rsidRPr="00933DC5">
        <w:rPr>
          <w:rFonts w:ascii="Times New Roman" w:eastAsia="Times New Roman" w:hAnsi="Times New Roman" w:cs="Times New Roman"/>
          <w:i/>
          <w:iCs/>
          <w:sz w:val="24"/>
          <w:szCs w:val="24"/>
          <w:lang w:val="en-US"/>
        </w:rPr>
        <w:t>Lidl lohnt sich</w:t>
      </w:r>
      <w:r w:rsidR="00E8664E" w:rsidRPr="00933DC5">
        <w:rPr>
          <w:rFonts w:ascii="Times New Roman" w:eastAsia="Times New Roman" w:hAnsi="Times New Roman" w:cs="Times New Roman"/>
          <w:sz w:val="24"/>
          <w:szCs w:val="24"/>
          <w:lang w:val="en-US"/>
        </w:rPr>
        <w:t xml:space="preserve">. </w:t>
      </w:r>
      <w:r w:rsidR="00346FE9">
        <w:rPr>
          <w:rFonts w:ascii="Times New Roman" w:eastAsia="Times New Roman" w:hAnsi="Times New Roman" w:cs="Times New Roman"/>
          <w:sz w:val="24"/>
          <w:szCs w:val="24"/>
          <w:lang w:val="en-US"/>
        </w:rPr>
        <w:t xml:space="preserve">That is why the slogan begins with </w:t>
      </w:r>
      <w:r w:rsidR="00E8664E" w:rsidRPr="00933DC5">
        <w:rPr>
          <w:rFonts w:ascii="Times New Roman" w:eastAsia="Times New Roman" w:hAnsi="Times New Roman" w:cs="Times New Roman"/>
          <w:i/>
          <w:iCs/>
          <w:sz w:val="24"/>
          <w:szCs w:val="24"/>
        </w:rPr>
        <w:t>Заслужава си</w:t>
      </w:r>
      <w:r w:rsidR="00E8664E" w:rsidRPr="00933DC5">
        <w:rPr>
          <w:rFonts w:ascii="Times New Roman" w:eastAsia="Times New Roman" w:hAnsi="Times New Roman" w:cs="Times New Roman"/>
          <w:i/>
          <w:iCs/>
          <w:sz w:val="24"/>
          <w:szCs w:val="24"/>
          <w:lang w:val="en-US"/>
        </w:rPr>
        <w:t xml:space="preserve">, </w:t>
      </w:r>
      <w:r w:rsidR="00346FE9">
        <w:rPr>
          <w:rFonts w:ascii="Times New Roman" w:eastAsia="Times New Roman" w:hAnsi="Times New Roman" w:cs="Times New Roman"/>
          <w:sz w:val="24"/>
          <w:szCs w:val="24"/>
          <w:lang w:val="en-US"/>
        </w:rPr>
        <w:t xml:space="preserve">but </w:t>
      </w:r>
      <w:r w:rsidR="00945ED6">
        <w:rPr>
          <w:rFonts w:ascii="Times New Roman" w:eastAsia="Times New Roman" w:hAnsi="Times New Roman" w:cs="Times New Roman"/>
          <w:sz w:val="24"/>
          <w:szCs w:val="24"/>
          <w:lang w:val="en-US"/>
        </w:rPr>
        <w:t>also gives a summary of the commercial. Lidl brochures still include the assurance that the customer does not have to choose between price and quality since they get both.</w:t>
      </w:r>
      <w:r w:rsidR="00E8664E" w:rsidRPr="00933DC5">
        <w:rPr>
          <w:rFonts w:ascii="Times New Roman" w:eastAsia="Times New Roman" w:hAnsi="Times New Roman" w:cs="Times New Roman"/>
          <w:sz w:val="24"/>
          <w:szCs w:val="24"/>
        </w:rPr>
        <w:t xml:space="preserve"> </w:t>
      </w:r>
    </w:p>
    <w:p w14:paraId="5B65226E" w14:textId="50290574" w:rsidR="00E8664E" w:rsidRDefault="00945ED6" w:rsidP="00E8664E">
      <w:pPr>
        <w:spacing w:line="240" w:lineRule="auto"/>
        <w:ind w:left="284" w:firstLine="424"/>
        <w:jc w:val="both"/>
        <w:rPr>
          <w:rStyle w:val="Hyperlink"/>
          <w:noProof/>
        </w:rPr>
      </w:pPr>
      <w:r>
        <w:rPr>
          <w:noProof/>
        </w:rPr>
        <w:t xml:space="preserve">The comments about Guiness’s slogan </w:t>
      </w:r>
      <w:r w:rsidRPr="00AA6989">
        <w:rPr>
          <w:i/>
          <w:iCs/>
          <w:noProof/>
        </w:rPr>
        <w:t>Bring it to life</w:t>
      </w:r>
      <w:r>
        <w:rPr>
          <w:noProof/>
        </w:rPr>
        <w:t xml:space="preserve"> are not backed by the facts either</w:t>
      </w:r>
      <w:r w:rsidR="00E8664E" w:rsidRPr="00AA7E17">
        <w:rPr>
          <w:rFonts w:eastAsia="Times New Roman"/>
          <w:lang w:eastAsia="bg-BG"/>
        </w:rPr>
        <w:t xml:space="preserve"> </w:t>
      </w:r>
      <w:r>
        <w:rPr>
          <w:rFonts w:eastAsia="Times New Roman"/>
          <w:lang w:eastAsia="bg-BG"/>
        </w:rPr>
        <w:t>(p</w:t>
      </w:r>
      <w:r w:rsidR="00E8664E" w:rsidRPr="004315D7">
        <w:rPr>
          <w:rFonts w:eastAsia="Times New Roman"/>
          <w:lang w:eastAsia="bg-BG"/>
        </w:rPr>
        <w:t>. 226</w:t>
      </w:r>
      <w:r w:rsidR="00E8664E">
        <w:rPr>
          <w:rFonts w:eastAsia="Times New Roman"/>
          <w:lang w:eastAsia="bg-BG"/>
        </w:rPr>
        <w:t>):</w:t>
      </w:r>
      <w:r w:rsidR="00E8664E" w:rsidRPr="004315D7">
        <w:rPr>
          <w:noProof/>
        </w:rPr>
        <w:t xml:space="preserve"> „Изключително красив и ефектен клип, който утвърждава образа на Guiness като силна бира за силни мъже“. </w:t>
      </w:r>
      <w:r>
        <w:rPr>
          <w:noProof/>
        </w:rPr>
        <w:t>It is not clear why this trivial interpretation had to be given if an ads</w:t>
      </w:r>
      <w:r w:rsidR="00AA6989">
        <w:rPr>
          <w:noProof/>
        </w:rPr>
        <w:t>-</w:t>
      </w:r>
      <w:r>
        <w:rPr>
          <w:noProof/>
        </w:rPr>
        <w:t>review site quotes the very creators of the advertisement explaining the image of the exploding bubbles: beer froth comes into existence only by pouring the beer</w:t>
      </w:r>
      <w:r w:rsidR="00AA6989" w:rsidRPr="00AA6989">
        <w:rPr>
          <w:noProof/>
        </w:rPr>
        <w:t xml:space="preserve"> </w:t>
      </w:r>
      <w:r w:rsidR="00AA6989">
        <w:rPr>
          <w:noProof/>
        </w:rPr>
        <w:t>out</w:t>
      </w:r>
      <w:r>
        <w:rPr>
          <w:noProof/>
        </w:rPr>
        <w:t xml:space="preserve">. In other words </w:t>
      </w:r>
      <w:r w:rsidRPr="00040A0C">
        <w:rPr>
          <w:i/>
          <w:iCs/>
          <w:noProof/>
        </w:rPr>
        <w:t>Bring it to life</w:t>
      </w:r>
      <w:r>
        <w:rPr>
          <w:noProof/>
        </w:rPr>
        <w:t xml:space="preserve"> in this case means</w:t>
      </w:r>
      <w:r w:rsidR="00040A0C">
        <w:rPr>
          <w:noProof/>
        </w:rPr>
        <w:t xml:space="preserve"> just</w:t>
      </w:r>
      <w:r>
        <w:rPr>
          <w:noProof/>
        </w:rPr>
        <w:t xml:space="preserve"> “Pour yourself a Guiness”</w:t>
      </w:r>
      <w:r w:rsidR="00E8664E">
        <w:rPr>
          <w:noProof/>
        </w:rPr>
        <w:t xml:space="preserve"> </w:t>
      </w:r>
      <w:hyperlink r:id="rId8" w:history="1">
        <w:r w:rsidR="00040A0C" w:rsidRPr="003C47D3">
          <w:rPr>
            <w:rStyle w:val="Hyperlink"/>
            <w:noProof/>
          </w:rPr>
          <w:t>https://adsreviewedtoday.wordpress.com/2013/05/14/guinness-bring-it-to-life-advert/</w:t>
        </w:r>
      </w:hyperlink>
      <w:r w:rsidR="00040A0C">
        <w:rPr>
          <w:rStyle w:val="Hyperlink"/>
          <w:noProof/>
        </w:rPr>
        <w:t>.</w:t>
      </w:r>
    </w:p>
    <w:p w14:paraId="79F89703" w14:textId="77777777" w:rsidR="00040A0C" w:rsidRDefault="00040A0C" w:rsidP="00E8664E">
      <w:pPr>
        <w:spacing w:line="240" w:lineRule="auto"/>
        <w:ind w:left="284" w:firstLine="424"/>
        <w:jc w:val="both"/>
        <w:rPr>
          <w:rStyle w:val="Hyperlink"/>
          <w:noProof/>
        </w:rPr>
      </w:pPr>
    </w:p>
    <w:p w14:paraId="04F751AD" w14:textId="1D970351" w:rsidR="00040A0C" w:rsidRPr="00AA7E17" w:rsidRDefault="00040A0C" w:rsidP="00040A0C">
      <w:pPr>
        <w:pStyle w:val="FootnoteText"/>
        <w:ind w:left="284" w:firstLine="424"/>
        <w:jc w:val="both"/>
        <w:rPr>
          <w:rFonts w:ascii="Times New Roman" w:hAnsi="Times New Roman" w:cs="Times New Roman"/>
          <w:sz w:val="24"/>
          <w:szCs w:val="24"/>
        </w:rPr>
      </w:pPr>
      <w:r>
        <w:rPr>
          <w:rFonts w:ascii="Times New Roman" w:hAnsi="Times New Roman" w:cs="Times New Roman"/>
          <w:sz w:val="24"/>
          <w:szCs w:val="24"/>
          <w:lang w:val="en-US"/>
        </w:rPr>
        <w:t>Similar literary phantasies characterize the journalistic style of the whole text in general. E.g. on p</w:t>
      </w:r>
      <w:r w:rsidRPr="00AA7E17">
        <w:rPr>
          <w:rFonts w:ascii="Times New Roman" w:hAnsi="Times New Roman" w:cs="Times New Roman"/>
          <w:sz w:val="24"/>
          <w:szCs w:val="24"/>
        </w:rPr>
        <w:t xml:space="preserve">. 31 </w:t>
      </w:r>
      <w:r>
        <w:rPr>
          <w:rFonts w:ascii="Times New Roman" w:hAnsi="Times New Roman" w:cs="Times New Roman"/>
          <w:sz w:val="24"/>
          <w:szCs w:val="24"/>
          <w:lang w:val="en-US"/>
        </w:rPr>
        <w:t>we read:</w:t>
      </w:r>
      <w:r w:rsidRPr="00AA7E17">
        <w:rPr>
          <w:rFonts w:ascii="Times New Roman" w:hAnsi="Times New Roman" w:cs="Times New Roman"/>
          <w:sz w:val="24"/>
          <w:szCs w:val="24"/>
        </w:rPr>
        <w:t xml:space="preserve"> „езикът определено е средство, което се поддава на въздействие, с него може да се направи много, той предлага голям набор от възможности за креативни и продуктивни решения. Затова колкото по-строги са нормите в един език, толкова по-фрапантни и интересни могат да изглеждат отклоненията от тях.“ </w:t>
      </w:r>
      <w:r>
        <w:rPr>
          <w:rFonts w:ascii="Times New Roman" w:hAnsi="Times New Roman" w:cs="Times New Roman"/>
          <w:sz w:val="24"/>
          <w:szCs w:val="24"/>
          <w:lang w:val="en-US"/>
        </w:rPr>
        <w:t xml:space="preserve">Part of the quote repeats trivial facts while the rest reflects dated or rejected views about the nature of language. </w:t>
      </w:r>
      <w:r>
        <w:rPr>
          <w:rFonts w:ascii="Times New Roman" w:hAnsi="Times New Roman" w:cs="Times New Roman"/>
          <w:sz w:val="24"/>
          <w:szCs w:val="24"/>
          <w:lang w:val="en-US"/>
        </w:rPr>
        <w:lastRenderedPageBreak/>
        <w:t xml:space="preserve">Language is not something external to humans </w:t>
      </w:r>
      <w:r w:rsidR="00430012">
        <w:rPr>
          <w:rFonts w:ascii="Times New Roman" w:hAnsi="Times New Roman" w:cs="Times New Roman"/>
          <w:sz w:val="24"/>
          <w:szCs w:val="24"/>
          <w:lang w:val="en-US"/>
        </w:rPr>
        <w:t>which</w:t>
      </w:r>
      <w:r>
        <w:rPr>
          <w:rFonts w:ascii="Times New Roman" w:hAnsi="Times New Roman" w:cs="Times New Roman"/>
          <w:sz w:val="24"/>
          <w:szCs w:val="24"/>
          <w:lang w:val="en-US"/>
        </w:rPr>
        <w:t xml:space="preserve"> </w:t>
      </w:r>
      <w:r w:rsidR="00430012">
        <w:rPr>
          <w:rFonts w:ascii="Times New Roman" w:hAnsi="Times New Roman" w:cs="Times New Roman"/>
          <w:sz w:val="24"/>
          <w:szCs w:val="24"/>
          <w:lang w:val="en-US"/>
        </w:rPr>
        <w:t xml:space="preserve">can </w:t>
      </w:r>
      <w:r w:rsidR="00AA6989">
        <w:rPr>
          <w:rFonts w:ascii="Times New Roman" w:hAnsi="Times New Roman" w:cs="Times New Roman"/>
          <w:sz w:val="24"/>
          <w:szCs w:val="24"/>
          <w:lang w:val="en-US"/>
        </w:rPr>
        <w:t>become the target of their</w:t>
      </w:r>
      <w:r w:rsidR="00430012">
        <w:rPr>
          <w:rFonts w:ascii="Times New Roman" w:hAnsi="Times New Roman" w:cs="Times New Roman"/>
          <w:sz w:val="24"/>
          <w:szCs w:val="24"/>
          <w:lang w:val="en-US"/>
        </w:rPr>
        <w:t xml:space="preserve"> activity</w:t>
      </w:r>
      <w:r>
        <w:rPr>
          <w:rFonts w:ascii="Times New Roman" w:hAnsi="Times New Roman" w:cs="Times New Roman"/>
          <w:sz w:val="24"/>
          <w:szCs w:val="24"/>
          <w:lang w:val="en-US"/>
        </w:rPr>
        <w:t xml:space="preserve">. Its essence is to </w:t>
      </w:r>
      <w:r w:rsidR="00430012">
        <w:rPr>
          <w:rFonts w:ascii="Times New Roman" w:hAnsi="Times New Roman" w:cs="Times New Roman"/>
          <w:sz w:val="24"/>
          <w:szCs w:val="24"/>
          <w:lang w:val="en-US"/>
        </w:rPr>
        <w:t>reproduce itself as a process inseparable from thinking.</w:t>
      </w:r>
      <w:r w:rsidR="00430012">
        <w:rPr>
          <w:rFonts w:ascii="Times New Roman" w:hAnsi="Times New Roman" w:cs="Times New Roman"/>
          <w:sz w:val="24"/>
          <w:szCs w:val="24"/>
        </w:rPr>
        <w:t xml:space="preserve"> </w:t>
      </w:r>
      <w:r w:rsidRPr="00AA7E17">
        <w:rPr>
          <w:rFonts w:ascii="Times New Roman" w:hAnsi="Times New Roman" w:cs="Times New Roman"/>
          <w:sz w:val="24"/>
          <w:szCs w:val="24"/>
        </w:rPr>
        <w:t>„</w:t>
      </w:r>
      <w:r w:rsidR="00430012">
        <w:rPr>
          <w:rFonts w:ascii="Times New Roman" w:hAnsi="Times New Roman" w:cs="Times New Roman"/>
          <w:sz w:val="24"/>
          <w:szCs w:val="24"/>
          <w:lang w:val="en-US"/>
        </w:rPr>
        <w:t>Strict norms</w:t>
      </w:r>
      <w:r w:rsidRPr="00AA7E17">
        <w:rPr>
          <w:rFonts w:ascii="Times New Roman" w:hAnsi="Times New Roman" w:cs="Times New Roman"/>
          <w:sz w:val="24"/>
          <w:szCs w:val="24"/>
        </w:rPr>
        <w:t>“ (</w:t>
      </w:r>
      <w:r w:rsidR="00430012">
        <w:rPr>
          <w:rFonts w:ascii="Times New Roman" w:hAnsi="Times New Roman" w:cs="Times New Roman"/>
          <w:sz w:val="24"/>
          <w:szCs w:val="24"/>
          <w:lang w:val="en-US"/>
        </w:rPr>
        <w:t>p</w:t>
      </w:r>
      <w:r w:rsidRPr="00AA7E17">
        <w:rPr>
          <w:rFonts w:ascii="Times New Roman" w:hAnsi="Times New Roman" w:cs="Times New Roman"/>
          <w:sz w:val="24"/>
          <w:szCs w:val="24"/>
        </w:rPr>
        <w:t xml:space="preserve">. 85) </w:t>
      </w:r>
      <w:r w:rsidR="00AA6989">
        <w:rPr>
          <w:rFonts w:ascii="Times New Roman" w:hAnsi="Times New Roman" w:cs="Times New Roman"/>
          <w:sz w:val="24"/>
          <w:szCs w:val="24"/>
          <w:lang w:val="en-US"/>
        </w:rPr>
        <w:t xml:space="preserve">or “boundaries” </w:t>
      </w:r>
      <w:r w:rsidR="00430012">
        <w:rPr>
          <w:rFonts w:ascii="Times New Roman" w:hAnsi="Times New Roman" w:cs="Times New Roman"/>
          <w:sz w:val="24"/>
          <w:szCs w:val="24"/>
          <w:lang w:val="en-US"/>
        </w:rPr>
        <w:t>are formulated only for educational purposes (i.e. for the standard dialect)</w:t>
      </w:r>
      <w:r w:rsidRPr="00AA7E17">
        <w:rPr>
          <w:rFonts w:ascii="Times New Roman" w:hAnsi="Times New Roman" w:cs="Times New Roman"/>
          <w:sz w:val="24"/>
          <w:szCs w:val="24"/>
        </w:rPr>
        <w:t xml:space="preserve">, </w:t>
      </w:r>
      <w:r w:rsidR="00430012">
        <w:rPr>
          <w:rFonts w:ascii="Times New Roman" w:hAnsi="Times New Roman" w:cs="Times New Roman"/>
          <w:sz w:val="24"/>
          <w:szCs w:val="24"/>
          <w:lang w:val="en-US"/>
        </w:rPr>
        <w:t>they do not inhere in language (</w:t>
      </w:r>
      <w:r w:rsidR="00430012" w:rsidRPr="00430012">
        <w:rPr>
          <w:rFonts w:ascii="Times New Roman" w:hAnsi="Times New Roman" w:cs="Times New Roman"/>
          <w:i/>
          <w:iCs/>
          <w:sz w:val="24"/>
          <w:szCs w:val="24"/>
          <w:lang w:val="en-US"/>
        </w:rPr>
        <w:t>norm</w:t>
      </w:r>
      <w:r w:rsidR="00430012">
        <w:rPr>
          <w:rFonts w:ascii="Times New Roman" w:hAnsi="Times New Roman" w:cs="Times New Roman"/>
          <w:sz w:val="24"/>
          <w:szCs w:val="24"/>
          <w:lang w:val="en-US"/>
        </w:rPr>
        <w:t xml:space="preserve"> in its semiotic sense </w:t>
      </w:r>
      <w:r w:rsidR="006C6379">
        <w:rPr>
          <w:rFonts w:ascii="Times New Roman" w:hAnsi="Times New Roman" w:cs="Times New Roman"/>
          <w:sz w:val="24"/>
          <w:szCs w:val="24"/>
          <w:lang w:val="en-US"/>
        </w:rPr>
        <w:t>is ever-changing as the implicit “background” in the never-ending semiosis)</w:t>
      </w:r>
      <w:r w:rsidRPr="00694DCC">
        <w:rPr>
          <w:rFonts w:ascii="Times New Roman" w:hAnsi="Times New Roman" w:cs="Times New Roman"/>
          <w:sz w:val="24"/>
          <w:szCs w:val="24"/>
        </w:rPr>
        <w:t>.</w:t>
      </w:r>
      <w:r>
        <w:rPr>
          <w:rFonts w:ascii="Times New Roman" w:hAnsi="Times New Roman" w:cs="Times New Roman"/>
          <w:sz w:val="24"/>
          <w:szCs w:val="24"/>
        </w:rPr>
        <w:t xml:space="preserve"> </w:t>
      </w:r>
      <w:r w:rsidR="006C6379">
        <w:rPr>
          <w:rFonts w:ascii="Times New Roman" w:hAnsi="Times New Roman" w:cs="Times New Roman"/>
          <w:sz w:val="24"/>
          <w:szCs w:val="24"/>
          <w:lang w:val="en-US"/>
        </w:rPr>
        <w:t xml:space="preserve">What is inherent in language is variability and “human presence” </w:t>
      </w:r>
      <w:r>
        <w:rPr>
          <w:rFonts w:ascii="Times New Roman" w:hAnsi="Times New Roman" w:cs="Times New Roman"/>
          <w:sz w:val="24"/>
          <w:szCs w:val="24"/>
        </w:rPr>
        <w:t>(</w:t>
      </w:r>
      <w:r w:rsidR="006C6379">
        <w:rPr>
          <w:rFonts w:ascii="Times New Roman" w:hAnsi="Times New Roman" w:cs="Times New Roman"/>
          <w:sz w:val="24"/>
          <w:szCs w:val="24"/>
          <w:lang w:val="en-US"/>
        </w:rPr>
        <w:t>p</w:t>
      </w:r>
      <w:r w:rsidRPr="00AA7E17">
        <w:rPr>
          <w:rFonts w:ascii="Times New Roman" w:hAnsi="Times New Roman" w:cs="Times New Roman"/>
          <w:sz w:val="24"/>
          <w:szCs w:val="24"/>
        </w:rPr>
        <w:t>. 32</w:t>
      </w:r>
      <w:r>
        <w:rPr>
          <w:rFonts w:ascii="Times New Roman" w:hAnsi="Times New Roman" w:cs="Times New Roman"/>
          <w:sz w:val="24"/>
          <w:szCs w:val="24"/>
        </w:rPr>
        <w:t>)</w:t>
      </w:r>
      <w:r w:rsidRPr="00AA7E17">
        <w:rPr>
          <w:rFonts w:ascii="Times New Roman" w:hAnsi="Times New Roman" w:cs="Times New Roman"/>
          <w:sz w:val="24"/>
          <w:szCs w:val="24"/>
        </w:rPr>
        <w:t xml:space="preserve">. </w:t>
      </w:r>
      <w:r w:rsidR="006C6379">
        <w:rPr>
          <w:rFonts w:ascii="Times New Roman" w:hAnsi="Times New Roman" w:cs="Times New Roman"/>
          <w:sz w:val="24"/>
          <w:szCs w:val="24"/>
          <w:lang w:val="en-US"/>
        </w:rPr>
        <w:t>Variability is based on meta-usage as mentioned above.</w:t>
      </w:r>
      <w:r w:rsidRPr="00AA7E17">
        <w:rPr>
          <w:rFonts w:ascii="Times New Roman" w:hAnsi="Times New Roman" w:cs="Times New Roman"/>
          <w:sz w:val="24"/>
          <w:szCs w:val="24"/>
        </w:rPr>
        <w:t xml:space="preserve"> </w:t>
      </w:r>
      <w:r w:rsidR="006C6379">
        <w:rPr>
          <w:rFonts w:ascii="Times New Roman" w:hAnsi="Times New Roman" w:cs="Times New Roman"/>
          <w:sz w:val="24"/>
          <w:szCs w:val="24"/>
          <w:lang w:val="en-US"/>
        </w:rPr>
        <w:t xml:space="preserve">The content of the quote is thus exhausted just by saying </w:t>
      </w:r>
      <w:r w:rsidR="006C6379" w:rsidRPr="006C6379">
        <w:rPr>
          <w:rFonts w:ascii="Times New Roman" w:hAnsi="Times New Roman" w:cs="Times New Roman"/>
          <w:i/>
          <w:iCs/>
          <w:sz w:val="24"/>
          <w:szCs w:val="24"/>
          <w:lang w:val="en-US"/>
        </w:rPr>
        <w:t>Advertisements are one of the creative language genres</w:t>
      </w:r>
      <w:r w:rsidR="006C6379">
        <w:rPr>
          <w:rFonts w:ascii="Times New Roman" w:hAnsi="Times New Roman" w:cs="Times New Roman"/>
          <w:sz w:val="24"/>
          <w:szCs w:val="24"/>
          <w:lang w:val="en-US"/>
        </w:rPr>
        <w:t xml:space="preserve">. </w:t>
      </w:r>
    </w:p>
    <w:p w14:paraId="1F050E73" w14:textId="77777777" w:rsidR="00040A0C" w:rsidRDefault="00040A0C" w:rsidP="00040A0C">
      <w:pPr>
        <w:spacing w:line="240" w:lineRule="auto"/>
        <w:ind w:left="284"/>
        <w:jc w:val="both"/>
        <w:outlineLvl w:val="1"/>
      </w:pPr>
    </w:p>
    <w:p w14:paraId="200818E3" w14:textId="18AD1FAC" w:rsidR="00040A0C" w:rsidRDefault="006C6379" w:rsidP="00040A0C">
      <w:pPr>
        <w:spacing w:line="240" w:lineRule="auto"/>
        <w:ind w:left="284" w:firstLine="424"/>
        <w:jc w:val="both"/>
        <w:outlineLvl w:val="1"/>
      </w:pPr>
      <w:r>
        <w:t xml:space="preserve">The following 8 </w:t>
      </w:r>
      <w:r w:rsidR="00D37931">
        <w:t xml:space="preserve">downright </w:t>
      </w:r>
      <w:r>
        <w:t xml:space="preserve">blunders are evidence </w:t>
      </w:r>
      <w:r w:rsidR="00D37931">
        <w:t xml:space="preserve">of an absence of </w:t>
      </w:r>
      <w:r>
        <w:t xml:space="preserve">linguistic </w:t>
      </w:r>
      <w:r w:rsidR="00D37931">
        <w:t>thinking</w:t>
      </w:r>
      <w:r>
        <w:t xml:space="preserve"> </w:t>
      </w:r>
      <w:r w:rsidR="00D37931">
        <w:t>in the mindset of the author of the book</w:t>
      </w:r>
      <w:r w:rsidR="00040A0C">
        <w:t>:</w:t>
      </w:r>
    </w:p>
    <w:p w14:paraId="71AF7E66" w14:textId="77777777" w:rsidR="00040A0C" w:rsidRDefault="00040A0C" w:rsidP="00040A0C">
      <w:pPr>
        <w:spacing w:line="240" w:lineRule="auto"/>
        <w:ind w:left="284"/>
        <w:jc w:val="both"/>
        <w:outlineLvl w:val="1"/>
      </w:pPr>
    </w:p>
    <w:p w14:paraId="74910943" w14:textId="5933FBE9" w:rsidR="00040A0C" w:rsidRPr="00AA7E17" w:rsidRDefault="00040A0C" w:rsidP="00040A0C">
      <w:pPr>
        <w:spacing w:after="120" w:line="240" w:lineRule="auto"/>
        <w:ind w:left="288"/>
        <w:jc w:val="both"/>
        <w:outlineLvl w:val="1"/>
      </w:pPr>
      <w:r w:rsidRPr="00025C53">
        <w:rPr>
          <w:b/>
          <w:bCs/>
        </w:rPr>
        <w:t>1</w:t>
      </w:r>
      <w:r w:rsidRPr="00AA7E17">
        <w:t xml:space="preserve"> </w:t>
      </w:r>
      <w:r w:rsidR="00D37931">
        <w:t>In</w:t>
      </w:r>
      <w:r w:rsidRPr="00AA7E17">
        <w:t xml:space="preserve"> </w:t>
      </w:r>
      <w:r w:rsidRPr="00AA7E17">
        <w:rPr>
          <w:i/>
          <w:iCs/>
        </w:rPr>
        <w:t>Apollo Optik</w:t>
      </w:r>
      <w:r w:rsidRPr="00AA7E17">
        <w:t xml:space="preserve"> “</w:t>
      </w:r>
      <w:r w:rsidR="00D37931">
        <w:rPr>
          <w:b/>
          <w:bCs/>
        </w:rPr>
        <w:t>the vowel</w:t>
      </w:r>
      <w:r w:rsidRPr="00AA7E17">
        <w:t xml:space="preserve">“o”, </w:t>
      </w:r>
      <w:r w:rsidR="00D37931">
        <w:t>which</w:t>
      </w:r>
      <w:r w:rsidRPr="00AA7E17">
        <w:t xml:space="preserve"> ...</w:t>
      </w:r>
      <w:r w:rsidR="00D37931">
        <w:t>has the shape of one of the glasses in a pair of eye-glasses</w:t>
      </w:r>
      <w:r w:rsidRPr="00AA7E17">
        <w:t>...“</w:t>
      </w:r>
      <w:r>
        <w:t xml:space="preserve"> (</w:t>
      </w:r>
      <w:r w:rsidR="00D37931">
        <w:t>p</w:t>
      </w:r>
      <w:r w:rsidRPr="00AA7E17">
        <w:t>. 116</w:t>
      </w:r>
      <w:r>
        <w:t>)</w:t>
      </w:r>
      <w:r w:rsidRPr="00AA7E17">
        <w:t xml:space="preserve"> – </w:t>
      </w:r>
      <w:r w:rsidR="00D37931">
        <w:t>a very serious mistake as the flow of sound waves has no such shape.</w:t>
      </w:r>
      <w:r w:rsidRPr="00AA7E17">
        <w:t xml:space="preserve"> </w:t>
      </w:r>
    </w:p>
    <w:p w14:paraId="7B1D3311" w14:textId="5F30B7C1" w:rsidR="00040A0C" w:rsidRPr="00AA7E17" w:rsidRDefault="00D37931" w:rsidP="00040A0C">
      <w:pPr>
        <w:pStyle w:val="ListParagraph"/>
        <w:spacing w:after="120" w:line="240" w:lineRule="auto"/>
        <w:ind w:left="28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 similar lack of precision is observed in the discussion of </w:t>
      </w:r>
      <w:r w:rsidR="00040A0C" w:rsidRPr="00AA7E17">
        <w:rPr>
          <w:rFonts w:ascii="Times New Roman" w:hAnsi="Times New Roman" w:cs="Times New Roman"/>
          <w:i/>
          <w:iCs/>
          <w:sz w:val="24"/>
          <w:szCs w:val="24"/>
        </w:rPr>
        <w:t>fahr ich, geht’s</w:t>
      </w:r>
      <w:r w:rsidR="00040A0C" w:rsidRPr="00AA7E17">
        <w:rPr>
          <w:rFonts w:ascii="Times New Roman" w:hAnsi="Times New Roman" w:cs="Times New Roman"/>
          <w:sz w:val="24"/>
          <w:szCs w:val="24"/>
        </w:rPr>
        <w:t xml:space="preserve"> (</w:t>
      </w:r>
      <w:r>
        <w:rPr>
          <w:rFonts w:ascii="Times New Roman" w:hAnsi="Times New Roman" w:cs="Times New Roman"/>
          <w:sz w:val="24"/>
          <w:szCs w:val="24"/>
          <w:lang w:val="en-US"/>
        </w:rPr>
        <w:t>p</w:t>
      </w:r>
      <w:r w:rsidR="00040A0C" w:rsidRPr="00AA7E17">
        <w:rPr>
          <w:rFonts w:ascii="Times New Roman" w:hAnsi="Times New Roman" w:cs="Times New Roman"/>
          <w:sz w:val="24"/>
          <w:szCs w:val="24"/>
        </w:rPr>
        <w:t xml:space="preserve">. 50), </w:t>
      </w:r>
      <w:r>
        <w:rPr>
          <w:rFonts w:ascii="Times New Roman" w:hAnsi="Times New Roman" w:cs="Times New Roman"/>
          <w:sz w:val="24"/>
          <w:szCs w:val="24"/>
          <w:lang w:val="en-US"/>
        </w:rPr>
        <w:t xml:space="preserve">described as a case of apocope. But if the advert is written you cannot say a sound has been dropped. The written form refers directly to </w:t>
      </w:r>
      <w:r w:rsidR="008D024E">
        <w:rPr>
          <w:rFonts w:ascii="Times New Roman" w:hAnsi="Times New Roman" w:cs="Times New Roman"/>
          <w:sz w:val="24"/>
          <w:szCs w:val="24"/>
          <w:lang w:val="en-US"/>
        </w:rPr>
        <w:t>colloquial speech and only in the actual colloquial pronunciation “agai</w:t>
      </w:r>
      <w:r w:rsidR="00AA6989">
        <w:rPr>
          <w:rFonts w:ascii="Times New Roman" w:hAnsi="Times New Roman" w:cs="Times New Roman"/>
          <w:sz w:val="24"/>
          <w:szCs w:val="24"/>
          <w:lang w:val="en-US"/>
        </w:rPr>
        <w:t>n</w:t>
      </w:r>
      <w:r w:rsidR="008D024E">
        <w:rPr>
          <w:rFonts w:ascii="Times New Roman" w:hAnsi="Times New Roman" w:cs="Times New Roman"/>
          <w:sz w:val="24"/>
          <w:szCs w:val="24"/>
          <w:lang w:val="en-US"/>
        </w:rPr>
        <w:t>st the backround of the canon” there is a lo</w:t>
      </w:r>
      <w:r w:rsidR="00AA6989">
        <w:rPr>
          <w:rFonts w:ascii="Times New Roman" w:hAnsi="Times New Roman" w:cs="Times New Roman"/>
          <w:sz w:val="24"/>
          <w:szCs w:val="24"/>
          <w:lang w:val="en-US"/>
        </w:rPr>
        <w:t>s</w:t>
      </w:r>
      <w:r w:rsidR="008D024E">
        <w:rPr>
          <w:rFonts w:ascii="Times New Roman" w:hAnsi="Times New Roman" w:cs="Times New Roman"/>
          <w:sz w:val="24"/>
          <w:szCs w:val="24"/>
          <w:lang w:val="en-US"/>
        </w:rPr>
        <w:t xml:space="preserve">s of sound. </w:t>
      </w:r>
    </w:p>
    <w:p w14:paraId="2A3D0A63" w14:textId="7B04EE69" w:rsidR="00040A0C" w:rsidRPr="00AA7E17" w:rsidRDefault="00040A0C" w:rsidP="00040A0C">
      <w:pPr>
        <w:spacing w:after="120" w:line="240" w:lineRule="auto"/>
        <w:ind w:left="288"/>
        <w:jc w:val="both"/>
        <w:outlineLvl w:val="1"/>
      </w:pPr>
      <w:r w:rsidRPr="00025C53">
        <w:rPr>
          <w:b/>
          <w:bCs/>
        </w:rPr>
        <w:t>2</w:t>
      </w:r>
      <w:r w:rsidRPr="00AA7E17">
        <w:t xml:space="preserve"> “</w:t>
      </w:r>
      <w:r w:rsidR="008D024E">
        <w:t xml:space="preserve">word formations with the </w:t>
      </w:r>
      <w:r w:rsidR="008D024E" w:rsidRPr="008D024E">
        <w:rPr>
          <w:b/>
          <w:bCs/>
        </w:rPr>
        <w:t>word</w:t>
      </w:r>
      <w:r w:rsidRPr="00AA7E17">
        <w:t xml:space="preserve"> </w:t>
      </w:r>
      <w:r w:rsidRPr="00AA7E17">
        <w:rPr>
          <w:i/>
          <w:iCs/>
        </w:rPr>
        <w:t>cool</w:t>
      </w:r>
      <w:r w:rsidRPr="00AA7E17">
        <w:t xml:space="preserve">, </w:t>
      </w:r>
      <w:r w:rsidRPr="00AA7E17">
        <w:rPr>
          <w:i/>
          <w:iCs/>
        </w:rPr>
        <w:t>bio</w:t>
      </w:r>
      <w:r w:rsidRPr="00AA7E17">
        <w:t xml:space="preserve">, </w:t>
      </w:r>
      <w:r w:rsidRPr="00AA7E17">
        <w:rPr>
          <w:i/>
          <w:iCs/>
        </w:rPr>
        <w:t>mega</w:t>
      </w:r>
      <w:r w:rsidRPr="00AA7E17">
        <w:t xml:space="preserve">, </w:t>
      </w:r>
      <w:r w:rsidRPr="00AA7E17">
        <w:rPr>
          <w:i/>
          <w:iCs/>
        </w:rPr>
        <w:t>super</w:t>
      </w:r>
      <w:r w:rsidRPr="00AA7E17">
        <w:t>” (</w:t>
      </w:r>
      <w:r w:rsidR="008D024E">
        <w:t>p</w:t>
      </w:r>
      <w:r w:rsidRPr="00AA7E17">
        <w:t xml:space="preserve">. 60) – </w:t>
      </w:r>
      <w:r w:rsidR="008D024E">
        <w:t>the structural units of comp</w:t>
      </w:r>
      <w:r w:rsidR="00AA6989">
        <w:t>o</w:t>
      </w:r>
      <w:r w:rsidR="008D024E">
        <w:t xml:space="preserve">unds and derived words are not </w:t>
      </w:r>
      <w:r w:rsidR="008D024E" w:rsidRPr="008D024E">
        <w:rPr>
          <w:b/>
          <w:bCs/>
        </w:rPr>
        <w:t>words</w:t>
      </w:r>
      <w:r w:rsidRPr="00AA7E17">
        <w:t xml:space="preserve">; </w:t>
      </w:r>
      <w:r w:rsidR="008D024E">
        <w:t>the listed units are roots or affixoids</w:t>
      </w:r>
      <w:r w:rsidRPr="00AA7E17">
        <w:t>.</w:t>
      </w:r>
    </w:p>
    <w:p w14:paraId="02C45182" w14:textId="01F3B585" w:rsidR="00040A0C" w:rsidRPr="00AA7E17" w:rsidRDefault="00040A0C" w:rsidP="00040A0C">
      <w:pPr>
        <w:spacing w:after="120" w:line="240" w:lineRule="auto"/>
        <w:ind w:left="288"/>
        <w:jc w:val="both"/>
        <w:outlineLvl w:val="1"/>
      </w:pPr>
      <w:r w:rsidRPr="00025C53">
        <w:rPr>
          <w:b/>
          <w:bCs/>
        </w:rPr>
        <w:t>3</w:t>
      </w:r>
      <w:r w:rsidRPr="00AA7E17">
        <w:t xml:space="preserve"> </w:t>
      </w:r>
      <w:r w:rsidR="008D024E">
        <w:t>Despite a quota</w:t>
      </w:r>
      <w:r w:rsidR="00AA6989">
        <w:t>t</w:t>
      </w:r>
      <w:r w:rsidR="008D024E">
        <w:t>ion from Janich that neologisms are only words accepted by the speech community</w:t>
      </w:r>
      <w:r w:rsidRPr="00AA7E17">
        <w:t xml:space="preserve">, </w:t>
      </w:r>
      <w:r w:rsidR="008D024E" w:rsidRPr="008D024E">
        <w:rPr>
          <w:b/>
          <w:bCs/>
        </w:rPr>
        <w:t xml:space="preserve">a great number of occasionalisms/nonce-words from slogans are classified as neologisms </w:t>
      </w:r>
      <w:r w:rsidR="008D024E">
        <w:t>(e.g.</w:t>
      </w:r>
      <w:r w:rsidRPr="00AA7E17">
        <w:t xml:space="preserve"> </w:t>
      </w:r>
      <w:r w:rsidRPr="00AA7E17">
        <w:rPr>
          <w:i/>
          <w:iCs/>
        </w:rPr>
        <w:t>чаромат</w:t>
      </w:r>
      <w:r w:rsidRPr="00AA7E17">
        <w:t xml:space="preserve"> </w:t>
      </w:r>
      <w:r w:rsidR="008D024E">
        <w:t>p</w:t>
      </w:r>
      <w:r w:rsidRPr="00AA7E17">
        <w:t>. 71).</w:t>
      </w:r>
    </w:p>
    <w:p w14:paraId="40779E06" w14:textId="19E63FB5" w:rsidR="00040A0C" w:rsidRPr="00C4012B" w:rsidRDefault="00040A0C" w:rsidP="00040A0C">
      <w:pPr>
        <w:tabs>
          <w:tab w:val="left" w:pos="2745"/>
        </w:tabs>
        <w:spacing w:after="120"/>
        <w:ind w:left="288"/>
        <w:jc w:val="both"/>
      </w:pPr>
      <w:r w:rsidRPr="00025C53">
        <w:rPr>
          <w:b/>
          <w:bCs/>
        </w:rPr>
        <w:t>4</w:t>
      </w:r>
      <w:r w:rsidRPr="00AA7E17">
        <w:t xml:space="preserve"> </w:t>
      </w:r>
      <w:r w:rsidR="00FA2D1F">
        <w:t>In</w:t>
      </w:r>
      <w:r w:rsidRPr="00AA7E17">
        <w:t xml:space="preserve"> </w:t>
      </w:r>
      <w:r w:rsidRPr="00AA7E17">
        <w:rPr>
          <w:i/>
          <w:iCs/>
        </w:rPr>
        <w:t>We kehr for you</w:t>
      </w:r>
      <w:r w:rsidRPr="00AA7E17">
        <w:t xml:space="preserve"> (</w:t>
      </w:r>
      <w:r w:rsidR="00FA2D1F">
        <w:t>p</w:t>
      </w:r>
      <w:r w:rsidRPr="00AA7E17">
        <w:t xml:space="preserve">. 49) </w:t>
      </w:r>
      <w:r w:rsidR="00FA2D1F">
        <w:rPr>
          <w:b/>
          <w:bCs/>
        </w:rPr>
        <w:t>there is no transliteration</w:t>
      </w:r>
      <w:r w:rsidRPr="00AA7E17">
        <w:t xml:space="preserve">. </w:t>
      </w:r>
      <w:r w:rsidR="00FA2D1F">
        <w:t xml:space="preserve">The spelling </w:t>
      </w:r>
      <w:r w:rsidRPr="00AA7E17">
        <w:rPr>
          <w:i/>
          <w:iCs/>
        </w:rPr>
        <w:t>kare</w:t>
      </w:r>
      <w:r w:rsidR="00FA2D1F">
        <w:t xml:space="preserve"> would have been transliteration</w:t>
      </w:r>
      <w:r w:rsidRPr="00AA7E17">
        <w:t>.</w:t>
      </w:r>
      <w:r w:rsidR="00FA2D1F">
        <w:t xml:space="preserve"> There is no “equation” between </w:t>
      </w:r>
      <w:r w:rsidR="00FA2D1F" w:rsidRPr="00FA2D1F">
        <w:rPr>
          <w:i/>
          <w:iCs/>
        </w:rPr>
        <w:t>care</w:t>
      </w:r>
      <w:r w:rsidR="00FA2D1F">
        <w:t xml:space="preserve"> and </w:t>
      </w:r>
      <w:r w:rsidR="00FA2D1F" w:rsidRPr="00FA2D1F">
        <w:rPr>
          <w:i/>
          <w:iCs/>
        </w:rPr>
        <w:t>kehr</w:t>
      </w:r>
      <w:r w:rsidR="00FA2D1F">
        <w:t xml:space="preserve"> either.</w:t>
      </w:r>
      <w:r w:rsidRPr="00AA7E17">
        <w:t xml:space="preserve"> </w:t>
      </w:r>
      <w:r w:rsidR="00FA2D1F">
        <w:t xml:space="preserve">This is a good illustration of the significance </w:t>
      </w:r>
      <w:r w:rsidR="00C4012B">
        <w:t>of semiosis in the analysis of advertising. It should be cognitive, not  structural.</w:t>
      </w:r>
    </w:p>
    <w:p w14:paraId="47F6360E" w14:textId="3F260E5D" w:rsidR="00040A0C" w:rsidRPr="00AA7E17" w:rsidRDefault="00040A0C" w:rsidP="00040A0C">
      <w:pPr>
        <w:spacing w:after="120" w:line="240" w:lineRule="auto"/>
        <w:ind w:left="288"/>
        <w:jc w:val="both"/>
        <w:outlineLvl w:val="1"/>
      </w:pPr>
      <w:r w:rsidRPr="00025C53">
        <w:rPr>
          <w:b/>
          <w:bCs/>
        </w:rPr>
        <w:t>5</w:t>
      </w:r>
      <w:r w:rsidRPr="00AA7E17">
        <w:t xml:space="preserve"> </w:t>
      </w:r>
      <w:r w:rsidR="00C4012B">
        <w:t xml:space="preserve">In examples like </w:t>
      </w:r>
      <w:r w:rsidRPr="00AA7E17">
        <w:rPr>
          <w:i/>
          <w:iCs/>
        </w:rPr>
        <w:t xml:space="preserve">Beck’s ist </w:t>
      </w:r>
      <w:bookmarkStart w:id="3" w:name="_Hlk50050385"/>
      <w:r w:rsidRPr="00AA7E17">
        <w:rPr>
          <w:i/>
          <w:iCs/>
        </w:rPr>
        <w:t>Beck’s</w:t>
      </w:r>
      <w:bookmarkEnd w:id="3"/>
      <w:r w:rsidR="00C4012B">
        <w:rPr>
          <w:i/>
          <w:iCs/>
        </w:rPr>
        <w:t xml:space="preserve"> </w:t>
      </w:r>
      <w:r w:rsidR="00C4012B">
        <w:t xml:space="preserve">the suggestion is that </w:t>
      </w:r>
      <w:r w:rsidR="00C4012B" w:rsidRPr="00C4012B">
        <w:rPr>
          <w:b/>
          <w:bCs/>
        </w:rPr>
        <w:t>a proper noun has turned into a common noun</w:t>
      </w:r>
      <w:r w:rsidRPr="00AA7E17">
        <w:rPr>
          <w:i/>
          <w:iCs/>
        </w:rPr>
        <w:t xml:space="preserve">. </w:t>
      </w:r>
      <w:r w:rsidR="00C4012B">
        <w:t xml:space="preserve">There is no common noun here but there is </w:t>
      </w:r>
      <w:r w:rsidR="000600B8">
        <w:t>something called an emblem or in Bulgarian</w:t>
      </w:r>
      <w:r w:rsidR="00C4012B">
        <w:t xml:space="preserve"> </w:t>
      </w:r>
      <w:r w:rsidRPr="00AA7E17">
        <w:t>„нарицателно собствено име“</w:t>
      </w:r>
      <w:r w:rsidR="00AA6989">
        <w:t>, a noun</w:t>
      </w:r>
      <w:r w:rsidRPr="00AA7E17">
        <w:t xml:space="preserve"> </w:t>
      </w:r>
      <w:r w:rsidR="000600B8">
        <w:t xml:space="preserve">which renders some typical features  </w:t>
      </w:r>
      <w:r w:rsidRPr="00AA7E17">
        <w:t>(</w:t>
      </w:r>
      <w:r w:rsidR="00C4012B">
        <w:t>as in</w:t>
      </w:r>
      <w:r w:rsidRPr="00AA7E17">
        <w:t xml:space="preserve"> </w:t>
      </w:r>
      <w:r w:rsidR="00636350">
        <w:rPr>
          <w:i/>
          <w:iCs/>
          <w:lang w:val="bg-BG"/>
        </w:rPr>
        <w:t>Германия е Германия</w:t>
      </w:r>
      <w:r w:rsidRPr="00AA7E17">
        <w:rPr>
          <w:i/>
          <w:iCs/>
        </w:rPr>
        <w:t>!</w:t>
      </w:r>
      <w:r w:rsidRPr="00AA7E17">
        <w:t xml:space="preserve">, </w:t>
      </w:r>
      <w:r w:rsidR="00C4012B">
        <w:t>cf</w:t>
      </w:r>
      <w:r w:rsidRPr="00AA7E17">
        <w:t xml:space="preserve">. </w:t>
      </w:r>
      <w:r w:rsidR="00C4012B">
        <w:t>the academic</w:t>
      </w:r>
      <w:r w:rsidRPr="00AA7E17">
        <w:t xml:space="preserve"> Речник на българския език)</w:t>
      </w:r>
      <w:r w:rsidRPr="00AA7E17">
        <w:rPr>
          <w:i/>
          <w:iCs/>
        </w:rPr>
        <w:t>.</w:t>
      </w:r>
      <w:r w:rsidRPr="00AA7E17">
        <w:t xml:space="preserve"> </w:t>
      </w:r>
      <w:r w:rsidR="000600B8">
        <w:t xml:space="preserve">Dr. Furkova </w:t>
      </w:r>
      <w:r w:rsidR="00636350">
        <w:t>gives the meaning of the second</w:t>
      </w:r>
      <w:r w:rsidRPr="00AA7E17">
        <w:t xml:space="preserve"> </w:t>
      </w:r>
      <w:r w:rsidRPr="00AA7E17">
        <w:rPr>
          <w:i/>
          <w:iCs/>
        </w:rPr>
        <w:t xml:space="preserve">Beck’s </w:t>
      </w:r>
      <w:r w:rsidR="00636350">
        <w:t>as some</w:t>
      </w:r>
      <w:r w:rsidRPr="00AA7E17">
        <w:t xml:space="preserve"> „</w:t>
      </w:r>
      <w:r w:rsidR="00636350">
        <w:t>absolute value”</w:t>
      </w:r>
      <w:r w:rsidRPr="00AA7E17">
        <w:t xml:space="preserve"> (</w:t>
      </w:r>
      <w:r w:rsidR="00636350">
        <w:t>p</w:t>
      </w:r>
      <w:r w:rsidRPr="00AA7E17">
        <w:t xml:space="preserve">. 115), </w:t>
      </w:r>
      <w:r w:rsidR="00636350">
        <w:t xml:space="preserve">probably meaning </w:t>
      </w:r>
      <w:r w:rsidRPr="00AA7E17">
        <w:t xml:space="preserve"> </w:t>
      </w:r>
      <w:r w:rsidR="00AA6989">
        <w:t>benchmark</w:t>
      </w:r>
      <w:r w:rsidRPr="00AA7E17">
        <w:t xml:space="preserve">. </w:t>
      </w:r>
      <w:r w:rsidR="00636350">
        <w:t xml:space="preserve">In social semiotics such predicatives are known as emblems and the accepted syntactic term for the construction is “tautological predication”, e.g. </w:t>
      </w:r>
      <w:r w:rsidRPr="00AA7E17">
        <w:rPr>
          <w:i/>
          <w:iCs/>
        </w:rPr>
        <w:t>A deal is a deal</w:t>
      </w:r>
      <w:r w:rsidRPr="00AA7E17">
        <w:t>.</w:t>
      </w:r>
    </w:p>
    <w:p w14:paraId="4B849AD1" w14:textId="0D122D1E" w:rsidR="00040A0C" w:rsidRDefault="00040A0C" w:rsidP="00040A0C">
      <w:pPr>
        <w:spacing w:after="120" w:line="240" w:lineRule="auto"/>
        <w:ind w:left="288"/>
        <w:jc w:val="both"/>
        <w:outlineLvl w:val="1"/>
        <w:rPr>
          <w:noProof/>
        </w:rPr>
      </w:pPr>
      <w:r w:rsidRPr="00025C53">
        <w:rPr>
          <w:b/>
          <w:bCs/>
        </w:rPr>
        <w:t>6</w:t>
      </w:r>
      <w:r w:rsidRPr="00AA7E17">
        <w:t xml:space="preserve"> </w:t>
      </w:r>
      <w:r w:rsidR="00E06CEF">
        <w:t>The author is struggling with the description of “superlatives” and “</w:t>
      </w:r>
      <w:r w:rsidR="00AA6989">
        <w:t>hyperonizations</w:t>
      </w:r>
      <w:r w:rsidR="00E06CEF">
        <w:t xml:space="preserve">” without the term </w:t>
      </w:r>
      <w:r w:rsidR="00E06CEF" w:rsidRPr="00E06CEF">
        <w:rPr>
          <w:i/>
          <w:iCs/>
        </w:rPr>
        <w:t>intensificator</w:t>
      </w:r>
      <w:r w:rsidR="00E06CEF">
        <w:t>. A serious mistake is for instance the following description</w:t>
      </w:r>
      <w:r w:rsidRPr="00AA7E17">
        <w:t xml:space="preserve">: „Друг популярен вариант за подчертаване на високата ценност, който е приложим и в българските реклами, е комбинацията от </w:t>
      </w:r>
      <w:r w:rsidRPr="00AA7E17">
        <w:rPr>
          <w:b/>
          <w:bCs/>
        </w:rPr>
        <w:t>две прилагателни</w:t>
      </w:r>
      <w:r w:rsidRPr="00AA7E17">
        <w:t xml:space="preserve">. Първото е само за подсливане... Най-често използвани за подсилване са думи като: </w:t>
      </w:r>
      <w:r w:rsidRPr="00AA7E17">
        <w:rPr>
          <w:u w:val="single"/>
        </w:rPr>
        <w:t>съвършено</w:t>
      </w:r>
      <w:r w:rsidRPr="00AA7E17">
        <w:t xml:space="preserve">, </w:t>
      </w:r>
      <w:r w:rsidRPr="00AA7E17">
        <w:rPr>
          <w:u w:val="single"/>
        </w:rPr>
        <w:t>абсолютно</w:t>
      </w:r>
      <w:r w:rsidRPr="00AA7E17">
        <w:t xml:space="preserve">, </w:t>
      </w:r>
      <w:r w:rsidRPr="00AA7E17">
        <w:rPr>
          <w:u w:val="single"/>
        </w:rPr>
        <w:t>перфектно</w:t>
      </w:r>
      <w:r w:rsidRPr="00AA7E17">
        <w:t xml:space="preserve">, </w:t>
      </w:r>
      <w:r w:rsidRPr="00AA7E17">
        <w:rPr>
          <w:u w:val="single"/>
        </w:rPr>
        <w:t>божествено</w:t>
      </w:r>
      <w:r w:rsidRPr="00AA7E17">
        <w:t xml:space="preserve">, </w:t>
      </w:r>
      <w:r w:rsidRPr="00AA7E17">
        <w:rPr>
          <w:u w:val="single"/>
        </w:rPr>
        <w:t>уникално</w:t>
      </w:r>
      <w:r w:rsidRPr="00AA7E17">
        <w:t xml:space="preserve">, </w:t>
      </w:r>
      <w:r w:rsidRPr="00AA7E17">
        <w:rPr>
          <w:u w:val="single"/>
        </w:rPr>
        <w:t>брилянтно</w:t>
      </w:r>
      <w:r w:rsidRPr="00AA7E17">
        <w:t xml:space="preserve">, </w:t>
      </w:r>
      <w:r w:rsidRPr="00AA7E17">
        <w:rPr>
          <w:u w:val="single"/>
        </w:rPr>
        <w:t>искрящо</w:t>
      </w:r>
      <w:r w:rsidRPr="00AA7E17">
        <w:t xml:space="preserve"> и пр.“</w:t>
      </w:r>
      <w:r w:rsidRPr="00AA7E17">
        <w:rPr>
          <w:noProof/>
        </w:rPr>
        <w:t xml:space="preserve"> </w:t>
      </w:r>
      <w:r w:rsidR="00E06CEF" w:rsidRPr="00AA7E17">
        <w:t>(</w:t>
      </w:r>
      <w:r w:rsidR="00E06CEF">
        <w:t>p</w:t>
      </w:r>
      <w:r w:rsidR="00E06CEF" w:rsidRPr="00AA7E17">
        <w:t>. 100)</w:t>
      </w:r>
      <w:r w:rsidR="00E06CEF">
        <w:t>.</w:t>
      </w:r>
      <w:r w:rsidR="00E06CEF" w:rsidRPr="00AA7E17">
        <w:t xml:space="preserve"> </w:t>
      </w:r>
      <w:r w:rsidR="00E06CEF">
        <w:t xml:space="preserve">In other words, for Dr. Furkova phrases such as </w:t>
      </w:r>
      <w:r w:rsidRPr="00AA7E17">
        <w:rPr>
          <w:i/>
          <w:iCs/>
          <w:noProof/>
        </w:rPr>
        <w:t>съвършено чист</w:t>
      </w:r>
      <w:r w:rsidRPr="00AA7E17">
        <w:rPr>
          <w:noProof/>
        </w:rPr>
        <w:t xml:space="preserve"> </w:t>
      </w:r>
      <w:r w:rsidR="00E06CEF">
        <w:rPr>
          <w:noProof/>
        </w:rPr>
        <w:t>or</w:t>
      </w:r>
      <w:r w:rsidRPr="00AA7E17">
        <w:rPr>
          <w:noProof/>
        </w:rPr>
        <w:t xml:space="preserve"> </w:t>
      </w:r>
      <w:r w:rsidRPr="00AA7E17">
        <w:rPr>
          <w:i/>
          <w:iCs/>
          <w:noProof/>
        </w:rPr>
        <w:t>божествено вкусен</w:t>
      </w:r>
      <w:r w:rsidRPr="00AA7E17">
        <w:rPr>
          <w:noProof/>
        </w:rPr>
        <w:t xml:space="preserve"> </w:t>
      </w:r>
      <w:r w:rsidR="00E06CEF">
        <w:rPr>
          <w:noProof/>
        </w:rPr>
        <w:t>consist of</w:t>
      </w:r>
      <w:r w:rsidRPr="00AA7E17">
        <w:rPr>
          <w:noProof/>
        </w:rPr>
        <w:t xml:space="preserve"> 2 </w:t>
      </w:r>
      <w:r w:rsidR="00E06CEF">
        <w:rPr>
          <w:noProof/>
        </w:rPr>
        <w:t>adjectives</w:t>
      </w:r>
      <w:r w:rsidRPr="00AA7E17">
        <w:rPr>
          <w:noProof/>
        </w:rPr>
        <w:t xml:space="preserve">... </w:t>
      </w:r>
    </w:p>
    <w:p w14:paraId="31CEAF74" w14:textId="1E04CBF5" w:rsidR="00E06CEF" w:rsidRPr="00AA7E17" w:rsidRDefault="00E06CEF" w:rsidP="00E06CEF">
      <w:pPr>
        <w:spacing w:line="240" w:lineRule="auto"/>
        <w:ind w:left="288" w:hanging="4"/>
        <w:jc w:val="both"/>
        <w:outlineLvl w:val="1"/>
      </w:pPr>
      <w:r w:rsidRPr="00025C53">
        <w:rPr>
          <w:b/>
          <w:bCs/>
        </w:rPr>
        <w:lastRenderedPageBreak/>
        <w:t>7</w:t>
      </w:r>
      <w:r w:rsidRPr="00AA7E17">
        <w:t xml:space="preserve"> </w:t>
      </w:r>
      <w:r>
        <w:t>Punctuation is not part of language and it cannot turn anything into something else, cf.:</w:t>
      </w:r>
      <w:r w:rsidRPr="00AA7E17">
        <w:t xml:space="preserve"> „името Yahoo само със смяната на въпросителния с удивителен знак се превръща в глагол и съществително” </w:t>
      </w:r>
      <w:r>
        <w:t>pp</w:t>
      </w:r>
      <w:r w:rsidRPr="00AA7E17">
        <w:t>. 69-70</w:t>
      </w:r>
      <w:r>
        <w:t>:</w:t>
      </w:r>
    </w:p>
    <w:p w14:paraId="612DC2B1" w14:textId="77777777" w:rsidR="00E06CEF" w:rsidRPr="00AA7E17" w:rsidRDefault="00E06CEF" w:rsidP="00E06CEF">
      <w:pPr>
        <w:spacing w:line="240" w:lineRule="auto"/>
        <w:ind w:left="288" w:firstLine="424"/>
        <w:jc w:val="both"/>
        <w:outlineLvl w:val="1"/>
      </w:pPr>
      <w:r w:rsidRPr="00AA7E17">
        <w:t>Do you yahoo? (2000) Yahoo!</w:t>
      </w:r>
    </w:p>
    <w:p w14:paraId="3392DA11" w14:textId="77777777" w:rsidR="00E06CEF" w:rsidRPr="00AA7E17" w:rsidRDefault="00E06CEF" w:rsidP="00E06CEF">
      <w:pPr>
        <w:spacing w:line="240" w:lineRule="auto"/>
        <w:ind w:left="288" w:firstLine="424"/>
        <w:jc w:val="both"/>
        <w:outlineLvl w:val="1"/>
      </w:pPr>
      <w:r w:rsidRPr="00AA7E17">
        <w:t>Do you yahoo! (2006) Yahoo!</w:t>
      </w:r>
    </w:p>
    <w:p w14:paraId="23C488E2" w14:textId="7C77B246" w:rsidR="00E06CEF" w:rsidRPr="00AA7E17" w:rsidRDefault="00E06CEF" w:rsidP="00E06CEF">
      <w:pPr>
        <w:spacing w:after="120" w:line="240" w:lineRule="auto"/>
        <w:ind w:left="288" w:hanging="14"/>
        <w:jc w:val="both"/>
        <w:outlineLvl w:val="1"/>
      </w:pPr>
      <w:r>
        <w:t>Beside the twisted facts (the exclamatio</w:t>
      </w:r>
      <w:r w:rsidR="00AA6989">
        <w:t>n</w:t>
      </w:r>
      <w:r>
        <w:t xml:space="preserve"> mark is part of the logo so the slogan is</w:t>
      </w:r>
      <w:r w:rsidRPr="00AA7E17">
        <w:t xml:space="preserve"> </w:t>
      </w:r>
      <w:r w:rsidRPr="00A455CF">
        <w:rPr>
          <w:i/>
          <w:iCs/>
        </w:rPr>
        <w:t>Do you … Yahoo!?</w:t>
      </w:r>
      <w:r w:rsidRPr="00AA7E17">
        <w:t xml:space="preserve"> </w:t>
      </w:r>
      <w:r>
        <w:t>with a capital and 2 punctuation marks</w:t>
      </w:r>
      <w:r w:rsidRPr="00AA7E17">
        <w:t xml:space="preserve">), </w:t>
      </w:r>
      <w:r>
        <w:t>the comment is not acceptable because punctuation marks</w:t>
      </w:r>
      <w:r w:rsidRPr="00AA7E17">
        <w:t xml:space="preserve"> </w:t>
      </w:r>
      <w:r>
        <w:t>belong to the completely different writing system</w:t>
      </w:r>
      <w:r w:rsidRPr="00AA7E17">
        <w:t xml:space="preserve">. </w:t>
      </w:r>
      <w:r>
        <w:t xml:space="preserve">They cannot change anything and are just indexes for the particular usage. Cf. the similar </w:t>
      </w:r>
      <w:r w:rsidR="00BA0CF1">
        <w:t xml:space="preserve">statement that declarative sentences turn into exclamations just by adding an exclamation mark p. </w:t>
      </w:r>
      <w:r w:rsidR="00BA0CF1" w:rsidRPr="00AA7E17">
        <w:t>162</w:t>
      </w:r>
      <w:r>
        <w:t>.</w:t>
      </w:r>
      <w:r w:rsidRPr="00AA7E17">
        <w:t xml:space="preserve"> </w:t>
      </w:r>
      <w:r w:rsidR="00BA0CF1">
        <w:t xml:space="preserve">What we see in the </w:t>
      </w:r>
      <w:r w:rsidRPr="00AA7E17">
        <w:t xml:space="preserve">Yahoo! </w:t>
      </w:r>
      <w:r w:rsidR="00BA0CF1">
        <w:t>slogan is coercion</w:t>
      </w:r>
      <w:r w:rsidRPr="00AA7E17">
        <w:t xml:space="preserve"> – </w:t>
      </w:r>
      <w:r w:rsidR="00BA0CF1">
        <w:t>in this construction in this slot there can only be a verb.</w:t>
      </w:r>
      <w:r w:rsidRPr="00AA7E17">
        <w:t xml:space="preserve"> </w:t>
      </w:r>
      <w:r w:rsidR="00BA0CF1">
        <w:t xml:space="preserve">There is no deviation from the rules whatsoever. </w:t>
      </w:r>
      <w:r w:rsidR="002B534F">
        <w:t>The second version of the slogan I couldn’t find anywhere</w:t>
      </w:r>
      <w:r w:rsidRPr="00AA7E17">
        <w:t>.</w:t>
      </w:r>
    </w:p>
    <w:p w14:paraId="45C3FD40" w14:textId="420DB197" w:rsidR="00E06CEF" w:rsidRDefault="00E06CEF" w:rsidP="00E06CEF">
      <w:pPr>
        <w:spacing w:after="120" w:line="240" w:lineRule="auto"/>
        <w:ind w:left="288" w:hanging="14"/>
        <w:jc w:val="both"/>
        <w:outlineLvl w:val="1"/>
        <w:rPr>
          <w:noProof/>
        </w:rPr>
      </w:pPr>
      <w:r w:rsidRPr="00353731">
        <w:rPr>
          <w:b/>
          <w:bCs/>
        </w:rPr>
        <w:t>8</w:t>
      </w:r>
      <w:r w:rsidRPr="00AA7E17">
        <w:t xml:space="preserve"> </w:t>
      </w:r>
      <w:r w:rsidR="00BA0CF1">
        <w:t xml:space="preserve">According to the author </w:t>
      </w:r>
      <w:r w:rsidR="00BA0CF1" w:rsidRPr="00BA0CF1">
        <w:rPr>
          <w:b/>
          <w:bCs/>
        </w:rPr>
        <w:t>the infinitive is an elliptical phrase</w:t>
      </w:r>
      <w:r w:rsidRPr="00AA7E17">
        <w:t xml:space="preserve"> </w:t>
      </w:r>
      <w:r>
        <w:rPr>
          <w:b/>
          <w:bCs/>
        </w:rPr>
        <w:t>(?)</w:t>
      </w:r>
      <w:r w:rsidRPr="00AA7E17">
        <w:t xml:space="preserve">, </w:t>
      </w:r>
      <w:r w:rsidR="00BA0CF1">
        <w:t>in which the subject has been dropped out as in</w:t>
      </w:r>
      <w:r w:rsidRPr="00AA7E17">
        <w:t xml:space="preserve"> </w:t>
      </w:r>
      <w:r w:rsidRPr="00AA7E17">
        <w:rPr>
          <w:i/>
          <w:iCs/>
        </w:rPr>
        <w:t>Entdecken, einkaufen, entspannen</w:t>
      </w:r>
      <w:r w:rsidRPr="00AA7E17">
        <w:t>. Amazon</w:t>
      </w:r>
      <w:r w:rsidRPr="00295D88">
        <w:t xml:space="preserve"> </w:t>
      </w:r>
      <w:r>
        <w:t>(</w:t>
      </w:r>
      <w:r w:rsidR="00BA0CF1">
        <w:t>p</w:t>
      </w:r>
      <w:r w:rsidRPr="00AA7E17">
        <w:t>.167</w:t>
      </w:r>
      <w:r>
        <w:t>).</w:t>
      </w:r>
    </w:p>
    <w:p w14:paraId="0AD74E1B" w14:textId="62771D56" w:rsidR="00E06CEF" w:rsidRDefault="00155FE7" w:rsidP="00E06CEF">
      <w:pPr>
        <w:spacing w:line="240" w:lineRule="auto"/>
        <w:ind w:left="284" w:firstLine="424"/>
        <w:jc w:val="both"/>
        <w:outlineLvl w:val="1"/>
      </w:pPr>
      <w:r>
        <w:t xml:space="preserve">I have listed the critical notes above in order to add arguments to the opinion that the book </w:t>
      </w:r>
      <w:r w:rsidR="002B534F">
        <w:rPr>
          <w:i/>
          <w:iCs/>
        </w:rPr>
        <w:t>L</w:t>
      </w:r>
      <w:r w:rsidRPr="00155FE7">
        <w:rPr>
          <w:i/>
          <w:iCs/>
        </w:rPr>
        <w:t>anguage of the advertising slogan.</w:t>
      </w:r>
      <w:r>
        <w:t xml:space="preserve"> </w:t>
      </w:r>
      <w:r w:rsidRPr="0061744F">
        <w:rPr>
          <w:rStyle w:val="fontstyle01"/>
          <w:i/>
          <w:iCs/>
        </w:rPr>
        <w:t>German-Bulgarian parallels</w:t>
      </w:r>
      <w:r>
        <w:rPr>
          <w:rStyle w:val="fontstyle01"/>
        </w:rPr>
        <w:t xml:space="preserve"> does not fulfil the requirements for a scientific publication in linguistics in spite of the </w:t>
      </w:r>
      <w:r w:rsidR="002B534F">
        <w:rPr>
          <w:rStyle w:val="fontstyle01"/>
        </w:rPr>
        <w:t>participation</w:t>
      </w:r>
      <w:r>
        <w:rPr>
          <w:rStyle w:val="fontstyle01"/>
        </w:rPr>
        <w:t xml:space="preserve"> of a scientific editor. </w:t>
      </w:r>
      <w:r w:rsidR="00062D0A">
        <w:t xml:space="preserve">Of greater concern is the fact that Dr. Furkova seems rather indifferent to the criteria for a scientific publication. I already mentioned the absence of strict application of terminology. </w:t>
      </w:r>
      <w:r w:rsidR="00E06CEF">
        <w:t xml:space="preserve"> </w:t>
      </w:r>
      <w:r w:rsidR="00062D0A">
        <w:t xml:space="preserve">I will only </w:t>
      </w:r>
      <w:r w:rsidR="002B534F">
        <w:t>add the</w:t>
      </w:r>
      <w:r w:rsidR="00062D0A">
        <w:t xml:space="preserve"> less than proper referencing </w:t>
      </w:r>
      <w:r w:rsidR="005E18F2">
        <w:t>in the remaining articles presented for the selection procedure</w:t>
      </w:r>
      <w:r w:rsidR="002B534F">
        <w:t>:</w:t>
      </w:r>
      <w:r w:rsidR="005E18F2">
        <w:t xml:space="preserve"> </w:t>
      </w:r>
    </w:p>
    <w:p w14:paraId="00DC0AB9" w14:textId="77777777" w:rsidR="00E06CEF" w:rsidRDefault="00E06CEF" w:rsidP="00E06CEF">
      <w:pPr>
        <w:spacing w:line="240" w:lineRule="auto"/>
        <w:ind w:left="284"/>
        <w:jc w:val="both"/>
        <w:outlineLvl w:val="1"/>
      </w:pPr>
    </w:p>
    <w:p w14:paraId="1494156E" w14:textId="498F18A7" w:rsidR="00E06CEF" w:rsidRDefault="005E18F2" w:rsidP="00E06CEF">
      <w:pPr>
        <w:spacing w:line="240" w:lineRule="auto"/>
        <w:ind w:left="284"/>
        <w:jc w:val="both"/>
        <w:outlineLvl w:val="1"/>
      </w:pPr>
      <w:r>
        <w:t>In</w:t>
      </w:r>
      <w:r w:rsidR="00E06CEF">
        <w:t xml:space="preserve"> № 2: </w:t>
      </w:r>
      <w:r w:rsidR="00E06CEF" w:rsidRPr="00933DC5">
        <w:rPr>
          <w:b/>
          <w:bCs/>
        </w:rPr>
        <w:t xml:space="preserve">9 </w:t>
      </w:r>
      <w:r w:rsidR="00C63E61">
        <w:rPr>
          <w:b/>
          <w:bCs/>
        </w:rPr>
        <w:t xml:space="preserve">out of </w:t>
      </w:r>
      <w:r w:rsidR="00E06CEF" w:rsidRPr="00933DC5">
        <w:rPr>
          <w:b/>
          <w:bCs/>
        </w:rPr>
        <w:t>22</w:t>
      </w:r>
      <w:r w:rsidR="00E06CEF">
        <w:t xml:space="preserve"> </w:t>
      </w:r>
      <w:r w:rsidR="003A1883">
        <w:t>titles in the bibliography are not mentioned in the text.</w:t>
      </w:r>
      <w:r w:rsidR="00E06CEF">
        <w:t xml:space="preserve"> </w:t>
      </w:r>
    </w:p>
    <w:p w14:paraId="1006D59C" w14:textId="4774E145" w:rsidR="00E06CEF" w:rsidRDefault="005E18F2" w:rsidP="00E06CEF">
      <w:pPr>
        <w:spacing w:line="240" w:lineRule="auto"/>
        <w:ind w:left="284"/>
        <w:jc w:val="both"/>
        <w:outlineLvl w:val="1"/>
      </w:pPr>
      <w:r>
        <w:t xml:space="preserve">In </w:t>
      </w:r>
      <w:r w:rsidR="00E06CEF">
        <w:t>№ 4: (</w:t>
      </w:r>
      <w:r w:rsidR="003A1883">
        <w:t>a shortened version of</w:t>
      </w:r>
      <w:r w:rsidR="00E06CEF">
        <w:t xml:space="preserve"> № 2) </w:t>
      </w:r>
      <w:r w:rsidR="003A1883">
        <w:rPr>
          <w:b/>
          <w:bCs/>
        </w:rPr>
        <w:t>just</w:t>
      </w:r>
      <w:r w:rsidR="00E06CEF" w:rsidRPr="00CA1BAD">
        <w:rPr>
          <w:b/>
          <w:bCs/>
        </w:rPr>
        <w:t xml:space="preserve"> 2</w:t>
      </w:r>
      <w:r w:rsidR="00E06CEF">
        <w:t xml:space="preserve"> </w:t>
      </w:r>
      <w:r w:rsidR="00C63E61">
        <w:rPr>
          <w:b/>
          <w:bCs/>
        </w:rPr>
        <w:t xml:space="preserve">out of </w:t>
      </w:r>
      <w:r w:rsidR="00E06CEF" w:rsidRPr="002B534F">
        <w:rPr>
          <w:b/>
          <w:bCs/>
        </w:rPr>
        <w:t>17</w:t>
      </w:r>
      <w:r w:rsidR="00E06CEF">
        <w:t xml:space="preserve"> </w:t>
      </w:r>
      <w:r w:rsidR="003A1883">
        <w:t>titles in the bibliography are present in the text</w:t>
      </w:r>
      <w:r w:rsidR="00E06CEF">
        <w:t>.</w:t>
      </w:r>
    </w:p>
    <w:p w14:paraId="713D8CEF" w14:textId="6DD75C2D" w:rsidR="00E06CEF" w:rsidRDefault="005E18F2" w:rsidP="00E06CEF">
      <w:pPr>
        <w:spacing w:line="240" w:lineRule="auto"/>
        <w:ind w:left="284"/>
        <w:jc w:val="both"/>
        <w:outlineLvl w:val="1"/>
      </w:pPr>
      <w:r>
        <w:t xml:space="preserve">In </w:t>
      </w:r>
      <w:r w:rsidR="00E06CEF">
        <w:t xml:space="preserve">№ 5: </w:t>
      </w:r>
      <w:r w:rsidR="00E06CEF" w:rsidRPr="00933DC5">
        <w:rPr>
          <w:b/>
          <w:bCs/>
        </w:rPr>
        <w:t xml:space="preserve">6 </w:t>
      </w:r>
      <w:r w:rsidR="00C63E61">
        <w:rPr>
          <w:b/>
          <w:bCs/>
        </w:rPr>
        <w:t xml:space="preserve">out of </w:t>
      </w:r>
      <w:r w:rsidR="00E06CEF" w:rsidRPr="00933DC5">
        <w:rPr>
          <w:b/>
          <w:bCs/>
        </w:rPr>
        <w:t>16</w:t>
      </w:r>
      <w:r w:rsidR="00E06CEF">
        <w:t xml:space="preserve"> </w:t>
      </w:r>
      <w:r w:rsidR="003A1883">
        <w:t xml:space="preserve">titles in the bibliography are not mentioned in the text. There is no reference to </w:t>
      </w:r>
      <w:r w:rsidR="00E06CEF">
        <w:t>Кодийак.</w:t>
      </w:r>
    </w:p>
    <w:p w14:paraId="6154AB6A" w14:textId="2AF01F49" w:rsidR="00E06CEF" w:rsidRPr="00332638" w:rsidRDefault="005E18F2" w:rsidP="00E06CEF">
      <w:pPr>
        <w:spacing w:line="240" w:lineRule="auto"/>
        <w:ind w:left="284"/>
        <w:jc w:val="both"/>
        <w:outlineLvl w:val="1"/>
      </w:pPr>
      <w:r>
        <w:t xml:space="preserve">In </w:t>
      </w:r>
      <w:r w:rsidR="00E06CEF">
        <w:t xml:space="preserve">№ 6: </w:t>
      </w:r>
      <w:r w:rsidR="00E06CEF" w:rsidRPr="00933DC5">
        <w:rPr>
          <w:b/>
          <w:bCs/>
        </w:rPr>
        <w:t xml:space="preserve">4 </w:t>
      </w:r>
      <w:r w:rsidR="00C63E61">
        <w:rPr>
          <w:b/>
          <w:bCs/>
        </w:rPr>
        <w:t xml:space="preserve">out of </w:t>
      </w:r>
      <w:r w:rsidR="00E06CEF" w:rsidRPr="00933DC5">
        <w:rPr>
          <w:b/>
          <w:bCs/>
        </w:rPr>
        <w:t>12</w:t>
      </w:r>
      <w:r w:rsidR="00E06CEF">
        <w:t xml:space="preserve"> </w:t>
      </w:r>
      <w:r w:rsidR="003A1883">
        <w:t xml:space="preserve">titles in the bibliography are not mentioned in the text. </w:t>
      </w:r>
    </w:p>
    <w:p w14:paraId="0840EA09" w14:textId="2BFF3A22" w:rsidR="00E06CEF" w:rsidRDefault="005E18F2" w:rsidP="00E06CEF">
      <w:pPr>
        <w:spacing w:line="240" w:lineRule="auto"/>
        <w:ind w:left="284"/>
        <w:jc w:val="both"/>
        <w:outlineLvl w:val="1"/>
      </w:pPr>
      <w:r>
        <w:t xml:space="preserve">In </w:t>
      </w:r>
      <w:r w:rsidR="00E06CEF">
        <w:t xml:space="preserve">№ 7: </w:t>
      </w:r>
      <w:r w:rsidR="00C63E61">
        <w:rPr>
          <w:b/>
          <w:bCs/>
        </w:rPr>
        <w:t>just</w:t>
      </w:r>
      <w:r w:rsidR="00E06CEF" w:rsidRPr="00933DC5">
        <w:rPr>
          <w:b/>
          <w:bCs/>
        </w:rPr>
        <w:t xml:space="preserve"> 2</w:t>
      </w:r>
      <w:r w:rsidR="00E06CEF">
        <w:t xml:space="preserve"> </w:t>
      </w:r>
      <w:r w:rsidR="00C63E61">
        <w:rPr>
          <w:b/>
          <w:bCs/>
        </w:rPr>
        <w:t xml:space="preserve">out of </w:t>
      </w:r>
      <w:r w:rsidR="00E06CEF" w:rsidRPr="002B534F">
        <w:rPr>
          <w:b/>
          <w:bCs/>
        </w:rPr>
        <w:t>7</w:t>
      </w:r>
      <w:r w:rsidR="00E06CEF">
        <w:t xml:space="preserve"> </w:t>
      </w:r>
      <w:r w:rsidR="003A1883">
        <w:t>are present in the text</w:t>
      </w:r>
      <w:r w:rsidR="00E06CEF">
        <w:t xml:space="preserve">, </w:t>
      </w:r>
      <w:r w:rsidR="003A1883">
        <w:t>the name</w:t>
      </w:r>
      <w:r w:rsidR="00E06CEF">
        <w:t xml:space="preserve"> Кора Дюбуа (sic) </w:t>
      </w:r>
      <w:r w:rsidR="003A1883">
        <w:t>is not included in the bibliography.</w:t>
      </w:r>
    </w:p>
    <w:p w14:paraId="3D5F1DA8" w14:textId="77777777" w:rsidR="00E06CEF" w:rsidRDefault="00E06CEF" w:rsidP="00E06CEF">
      <w:pPr>
        <w:spacing w:line="240" w:lineRule="auto"/>
        <w:ind w:left="284"/>
        <w:jc w:val="both"/>
        <w:outlineLvl w:val="1"/>
      </w:pPr>
    </w:p>
    <w:p w14:paraId="05018D54" w14:textId="7867C18F" w:rsidR="00E06CEF" w:rsidRPr="00A455CF" w:rsidRDefault="005E18F2" w:rsidP="00E06CEF">
      <w:pPr>
        <w:spacing w:line="240" w:lineRule="auto"/>
        <w:ind w:left="284"/>
        <w:jc w:val="both"/>
        <w:outlineLvl w:val="1"/>
        <w:rPr>
          <w:b/>
          <w:bCs/>
          <w:u w:val="single"/>
        </w:rPr>
      </w:pPr>
      <w:r>
        <w:rPr>
          <w:b/>
          <w:bCs/>
          <w:u w:val="single"/>
        </w:rPr>
        <w:t>Conclusion</w:t>
      </w:r>
    </w:p>
    <w:p w14:paraId="27977415" w14:textId="19901E70" w:rsidR="00E06CEF" w:rsidRDefault="005E18F2" w:rsidP="00E06CEF">
      <w:pPr>
        <w:spacing w:line="240" w:lineRule="auto"/>
        <w:ind w:left="284"/>
        <w:jc w:val="both"/>
        <w:outlineLvl w:val="1"/>
      </w:pPr>
      <w:r>
        <w:t>The close acquaintance with the materials</w:t>
      </w:r>
      <w:r w:rsidR="00E06CEF">
        <w:t xml:space="preserve"> </w:t>
      </w:r>
      <w:r>
        <w:t>presented for the selection procedure convinced me that Dr. Furkova is a talented translator and journalist as well as an experienced teacher of German for specific purposes.</w:t>
      </w:r>
      <w:r w:rsidR="00E06CEF">
        <w:t xml:space="preserve"> </w:t>
      </w:r>
      <w:r>
        <w:t xml:space="preserve">The materials presented, however, do not prove that she fulfils the requirements for receiving the </w:t>
      </w:r>
      <w:r w:rsidR="00122EB0">
        <w:t xml:space="preserve">academic title Associate Professor in any selection procedure within the field of </w:t>
      </w:r>
      <w:r w:rsidR="00122EB0" w:rsidRPr="00122EB0">
        <w:rPr>
          <w:b/>
          <w:bCs/>
        </w:rPr>
        <w:t>linguistics</w:t>
      </w:r>
      <w:r w:rsidR="00122EB0">
        <w:t xml:space="preserve">. </w:t>
      </w:r>
      <w:r>
        <w:t xml:space="preserve"> </w:t>
      </w:r>
      <w:r w:rsidR="00122EB0">
        <w:t xml:space="preserve">I do not find </w:t>
      </w:r>
      <w:r w:rsidR="002B534F">
        <w:t xml:space="preserve">that </w:t>
      </w:r>
      <w:r w:rsidR="00122EB0">
        <w:t xml:space="preserve">the candidate’s claimed contributions are real.  That is why </w:t>
      </w:r>
      <w:r w:rsidR="00122EB0" w:rsidRPr="00122EB0">
        <w:rPr>
          <w:b/>
          <w:bCs/>
        </w:rPr>
        <w:t>I cannot put forward</w:t>
      </w:r>
      <w:r w:rsidR="00122EB0">
        <w:t xml:space="preserve"> a suggestion to the scientific jury that Dr. Furkova be awarded the title Associate Professor. </w:t>
      </w:r>
      <w:r w:rsidR="00E06CEF">
        <w:t xml:space="preserve"> </w:t>
      </w:r>
    </w:p>
    <w:p w14:paraId="784D15AE" w14:textId="77777777" w:rsidR="00E06CEF" w:rsidRDefault="00E06CEF" w:rsidP="00E06CEF">
      <w:pPr>
        <w:spacing w:line="240" w:lineRule="auto"/>
        <w:ind w:left="284"/>
        <w:jc w:val="both"/>
        <w:outlineLvl w:val="1"/>
      </w:pPr>
    </w:p>
    <w:p w14:paraId="40459C10" w14:textId="14875DB8" w:rsidR="00E06CEF" w:rsidRDefault="00122EB0" w:rsidP="00E06CEF">
      <w:pPr>
        <w:spacing w:line="240" w:lineRule="auto"/>
        <w:ind w:left="284"/>
        <w:jc w:val="both"/>
        <w:outlineLvl w:val="1"/>
      </w:pPr>
      <w:r>
        <w:t>September</w:t>
      </w:r>
      <w:r w:rsidR="00E06CEF">
        <w:t xml:space="preserve"> 2020</w:t>
      </w:r>
      <w:r w:rsidR="00E06CEF">
        <w:tab/>
      </w:r>
      <w:r w:rsidR="00E06CEF">
        <w:tab/>
      </w:r>
      <w:r w:rsidR="00E06CEF">
        <w:tab/>
      </w:r>
      <w:r w:rsidR="00E06CEF">
        <w:tab/>
      </w:r>
      <w:r w:rsidR="00E06CEF">
        <w:tab/>
      </w:r>
      <w:r>
        <w:t>Reviewer</w:t>
      </w:r>
      <w:r w:rsidR="00E06CEF">
        <w:t>:</w:t>
      </w:r>
    </w:p>
    <w:p w14:paraId="4980E25C" w14:textId="3C8F27FC" w:rsidR="00E06CEF" w:rsidRPr="00B95B44" w:rsidRDefault="00E06CEF" w:rsidP="00E06CEF">
      <w:pPr>
        <w:spacing w:line="240" w:lineRule="auto"/>
        <w:jc w:val="both"/>
        <w:outlineLvl w:val="1"/>
      </w:pPr>
      <w:r>
        <w:tab/>
      </w:r>
      <w:r>
        <w:tab/>
      </w:r>
      <w:r>
        <w:tab/>
      </w:r>
      <w:r>
        <w:tab/>
      </w:r>
      <w:r>
        <w:tab/>
      </w:r>
      <w:r>
        <w:tab/>
      </w:r>
      <w:r>
        <w:tab/>
        <w:t xml:space="preserve">              </w:t>
      </w:r>
      <w:r w:rsidR="00122EB0">
        <w:t xml:space="preserve">     </w:t>
      </w:r>
      <w:r>
        <w:t>(</w:t>
      </w:r>
      <w:r w:rsidR="00122EB0">
        <w:t>Prof. Mira Kovatcheva, PhD)</w:t>
      </w:r>
      <w:r>
        <w:t xml:space="preserve"> </w:t>
      </w:r>
    </w:p>
    <w:p w14:paraId="4E11B956" w14:textId="77777777" w:rsidR="007F71FB" w:rsidRDefault="007F71FB" w:rsidP="00E8664E">
      <w:pPr>
        <w:pStyle w:val="ListParagraph"/>
        <w:ind w:left="284"/>
      </w:pPr>
    </w:p>
    <w:sectPr w:rsidR="007F71F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E600" w14:textId="77777777" w:rsidR="002205C2" w:rsidRDefault="002205C2" w:rsidP="006954AF">
      <w:pPr>
        <w:spacing w:line="240" w:lineRule="auto"/>
      </w:pPr>
      <w:r>
        <w:separator/>
      </w:r>
    </w:p>
  </w:endnote>
  <w:endnote w:type="continuationSeparator" w:id="0">
    <w:p w14:paraId="161D61FD" w14:textId="77777777" w:rsidR="002205C2" w:rsidRDefault="002205C2" w:rsidP="00695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BoldItalic">
    <w:altName w:val="Constant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85173"/>
      <w:docPartObj>
        <w:docPartGallery w:val="Page Numbers (Bottom of Page)"/>
        <w:docPartUnique/>
      </w:docPartObj>
    </w:sdtPr>
    <w:sdtEndPr>
      <w:rPr>
        <w:noProof/>
      </w:rPr>
    </w:sdtEndPr>
    <w:sdtContent>
      <w:p w14:paraId="626AE314" w14:textId="5AA51E46" w:rsidR="003A1883" w:rsidRDefault="003A18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120BFF" w14:textId="77777777" w:rsidR="003A1883" w:rsidRDefault="003A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A768" w14:textId="77777777" w:rsidR="002205C2" w:rsidRDefault="002205C2" w:rsidP="006954AF">
      <w:pPr>
        <w:spacing w:line="240" w:lineRule="auto"/>
      </w:pPr>
      <w:r>
        <w:separator/>
      </w:r>
    </w:p>
  </w:footnote>
  <w:footnote w:type="continuationSeparator" w:id="0">
    <w:p w14:paraId="70EE61FB" w14:textId="77777777" w:rsidR="002205C2" w:rsidRDefault="002205C2" w:rsidP="006954AF">
      <w:pPr>
        <w:spacing w:line="240" w:lineRule="auto"/>
      </w:pPr>
      <w:r>
        <w:continuationSeparator/>
      </w:r>
    </w:p>
  </w:footnote>
  <w:footnote w:id="1">
    <w:p w14:paraId="08C8352E" w14:textId="77777777" w:rsidR="006954AF" w:rsidRPr="008E0578" w:rsidRDefault="006954AF" w:rsidP="006954AF">
      <w:pPr>
        <w:pStyle w:val="FootnoteText"/>
        <w:ind w:left="284"/>
        <w:rPr>
          <w:rFonts w:ascii="Times New Roman" w:hAnsi="Times New Roman" w:cs="Times New Roman"/>
          <w:lang w:val="en-US"/>
        </w:rPr>
      </w:pPr>
      <w:r>
        <w:rPr>
          <w:rStyle w:val="FootnoteReference"/>
        </w:rPr>
        <w:footnoteRef/>
      </w:r>
      <w:r>
        <w:t xml:space="preserve"> </w:t>
      </w:r>
      <w:r w:rsidRPr="008E0578">
        <w:rPr>
          <w:rFonts w:ascii="Times New Roman" w:hAnsi="Times New Roman" w:cs="Times New Roman"/>
          <w:lang w:val="en-US"/>
        </w:rPr>
        <w:t xml:space="preserve">Karlfried Knapp, </w:t>
      </w:r>
      <w:r w:rsidRPr="008E0578">
        <w:rPr>
          <w:rFonts w:ascii="Times New Roman" w:hAnsi="Times New Roman" w:cs="Times New Roman"/>
        </w:rPr>
        <w:t>Applications in Applied Linguistics: AILA Review, Volume 26</w:t>
      </w:r>
    </w:p>
  </w:footnote>
  <w:footnote w:id="2">
    <w:p w14:paraId="12251498" w14:textId="6EC3C841" w:rsidR="00A847DB" w:rsidRPr="000B2622" w:rsidRDefault="00A847DB" w:rsidP="00A847DB">
      <w:pPr>
        <w:pStyle w:val="FootnoteText"/>
        <w:ind w:left="284"/>
        <w:rPr>
          <w:rFonts w:ascii="Times New Roman" w:hAnsi="Times New Roman" w:cs="Times New Roman"/>
        </w:rPr>
      </w:pPr>
      <w:r w:rsidRPr="006117C0">
        <w:rPr>
          <w:rStyle w:val="FootnoteReference"/>
          <w:rFonts w:ascii="Times New Roman" w:hAnsi="Times New Roman" w:cs="Times New Roman"/>
        </w:rPr>
        <w:footnoteRef/>
      </w:r>
      <w:r w:rsidRPr="006117C0">
        <w:rPr>
          <w:rFonts w:ascii="Times New Roman" w:hAnsi="Times New Roman" w:cs="Times New Roman"/>
        </w:rPr>
        <w:t xml:space="preserve"> </w:t>
      </w:r>
      <w:r w:rsidR="00582DA7">
        <w:rPr>
          <w:rFonts w:ascii="Times New Roman" w:hAnsi="Times New Roman" w:cs="Times New Roman"/>
          <w:lang w:val="en-US"/>
        </w:rPr>
        <w:t>Everything listed in the book under review has already been published, cf.</w:t>
      </w:r>
      <w:r>
        <w:rPr>
          <w:rFonts w:ascii="Times New Roman" w:hAnsi="Times New Roman" w:cs="Times New Roman"/>
        </w:rPr>
        <w:t xml:space="preserve"> </w:t>
      </w:r>
      <w:r w:rsidRPr="000B2622">
        <w:rPr>
          <w:rFonts w:ascii="Times New Roman" w:hAnsi="Times New Roman" w:cs="Times New Roman"/>
          <w:color w:val="242021"/>
        </w:rPr>
        <w:t>Gillian Dyer ADVERTISING AS COMMUNICATION,</w:t>
      </w:r>
      <w:r>
        <w:rPr>
          <w:rFonts w:ascii="Times New Roman" w:hAnsi="Times New Roman" w:cs="Times New Roman"/>
          <w:color w:val="242021"/>
        </w:rPr>
        <w:t xml:space="preserve"> </w:t>
      </w:r>
      <w:r>
        <w:rPr>
          <w:rFonts w:ascii="Times New Roman" w:hAnsi="Times New Roman" w:cs="Times New Roman"/>
          <w:color w:val="242021"/>
          <w:lang w:val="en-US"/>
        </w:rPr>
        <w:t>Routledge 1982</w:t>
      </w:r>
      <w:r w:rsidR="00582DA7">
        <w:rPr>
          <w:rFonts w:ascii="Times New Roman" w:hAnsi="Times New Roman" w:cs="Times New Roman"/>
          <w:color w:val="242021"/>
          <w:lang w:val="en-US"/>
        </w:rPr>
        <w:t xml:space="preserve"> (4 editions so far)</w:t>
      </w:r>
      <w:r>
        <w:rPr>
          <w:rFonts w:ascii="Times New Roman" w:hAnsi="Times New Roman" w:cs="Times New Roman"/>
          <w:color w:val="242021"/>
          <w:lang w:val="en-US"/>
        </w:rPr>
        <w:t>.</w:t>
      </w:r>
      <w:r w:rsidRPr="000B2622">
        <w:rPr>
          <w:rFonts w:ascii="Times New Roman" w:hAnsi="Times New Roman" w:cs="Times New Roman"/>
          <w:color w:val="242021"/>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156C"/>
    <w:multiLevelType w:val="hybridMultilevel"/>
    <w:tmpl w:val="29D2BBDE"/>
    <w:lvl w:ilvl="0" w:tplc="04020001">
      <w:start w:val="1"/>
      <w:numFmt w:val="bullet"/>
      <w:lvlText w:val=""/>
      <w:lvlJc w:val="left"/>
      <w:pPr>
        <w:ind w:left="762" w:hanging="360"/>
      </w:pPr>
      <w:rPr>
        <w:rFonts w:ascii="Symbol" w:hAnsi="Symbol" w:hint="default"/>
      </w:rPr>
    </w:lvl>
    <w:lvl w:ilvl="1" w:tplc="04020003" w:tentative="1">
      <w:start w:val="1"/>
      <w:numFmt w:val="bullet"/>
      <w:lvlText w:val="o"/>
      <w:lvlJc w:val="left"/>
      <w:pPr>
        <w:ind w:left="1482" w:hanging="360"/>
      </w:pPr>
      <w:rPr>
        <w:rFonts w:ascii="Courier New" w:hAnsi="Courier New" w:cs="Courier New" w:hint="default"/>
      </w:rPr>
    </w:lvl>
    <w:lvl w:ilvl="2" w:tplc="04020005" w:tentative="1">
      <w:start w:val="1"/>
      <w:numFmt w:val="bullet"/>
      <w:lvlText w:val=""/>
      <w:lvlJc w:val="left"/>
      <w:pPr>
        <w:ind w:left="2202" w:hanging="360"/>
      </w:pPr>
      <w:rPr>
        <w:rFonts w:ascii="Wingdings" w:hAnsi="Wingdings" w:hint="default"/>
      </w:rPr>
    </w:lvl>
    <w:lvl w:ilvl="3" w:tplc="04020001" w:tentative="1">
      <w:start w:val="1"/>
      <w:numFmt w:val="bullet"/>
      <w:lvlText w:val=""/>
      <w:lvlJc w:val="left"/>
      <w:pPr>
        <w:ind w:left="2922" w:hanging="360"/>
      </w:pPr>
      <w:rPr>
        <w:rFonts w:ascii="Symbol" w:hAnsi="Symbol" w:hint="default"/>
      </w:rPr>
    </w:lvl>
    <w:lvl w:ilvl="4" w:tplc="04020003" w:tentative="1">
      <w:start w:val="1"/>
      <w:numFmt w:val="bullet"/>
      <w:lvlText w:val="o"/>
      <w:lvlJc w:val="left"/>
      <w:pPr>
        <w:ind w:left="3642" w:hanging="360"/>
      </w:pPr>
      <w:rPr>
        <w:rFonts w:ascii="Courier New" w:hAnsi="Courier New" w:cs="Courier New" w:hint="default"/>
      </w:rPr>
    </w:lvl>
    <w:lvl w:ilvl="5" w:tplc="04020005" w:tentative="1">
      <w:start w:val="1"/>
      <w:numFmt w:val="bullet"/>
      <w:lvlText w:val=""/>
      <w:lvlJc w:val="left"/>
      <w:pPr>
        <w:ind w:left="4362" w:hanging="360"/>
      </w:pPr>
      <w:rPr>
        <w:rFonts w:ascii="Wingdings" w:hAnsi="Wingdings" w:hint="default"/>
      </w:rPr>
    </w:lvl>
    <w:lvl w:ilvl="6" w:tplc="04020001" w:tentative="1">
      <w:start w:val="1"/>
      <w:numFmt w:val="bullet"/>
      <w:lvlText w:val=""/>
      <w:lvlJc w:val="left"/>
      <w:pPr>
        <w:ind w:left="5082" w:hanging="360"/>
      </w:pPr>
      <w:rPr>
        <w:rFonts w:ascii="Symbol" w:hAnsi="Symbol" w:hint="default"/>
      </w:rPr>
    </w:lvl>
    <w:lvl w:ilvl="7" w:tplc="04020003" w:tentative="1">
      <w:start w:val="1"/>
      <w:numFmt w:val="bullet"/>
      <w:lvlText w:val="o"/>
      <w:lvlJc w:val="left"/>
      <w:pPr>
        <w:ind w:left="5802" w:hanging="360"/>
      </w:pPr>
      <w:rPr>
        <w:rFonts w:ascii="Courier New" w:hAnsi="Courier New" w:cs="Courier New" w:hint="default"/>
      </w:rPr>
    </w:lvl>
    <w:lvl w:ilvl="8" w:tplc="04020005" w:tentative="1">
      <w:start w:val="1"/>
      <w:numFmt w:val="bullet"/>
      <w:lvlText w:val=""/>
      <w:lvlJc w:val="left"/>
      <w:pPr>
        <w:ind w:left="6522" w:hanging="360"/>
      </w:pPr>
      <w:rPr>
        <w:rFonts w:ascii="Wingdings" w:hAnsi="Wingdings" w:hint="default"/>
      </w:rPr>
    </w:lvl>
  </w:abstractNum>
  <w:abstractNum w:abstractNumId="1" w15:restartNumberingAfterBreak="0">
    <w:nsid w:val="67CD7258"/>
    <w:multiLevelType w:val="hybridMultilevel"/>
    <w:tmpl w:val="D3805372"/>
    <w:lvl w:ilvl="0" w:tplc="0409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699132E9"/>
    <w:multiLevelType w:val="hybridMultilevel"/>
    <w:tmpl w:val="2DDCC0FC"/>
    <w:lvl w:ilvl="0" w:tplc="0409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FB"/>
    <w:rsid w:val="00040A0C"/>
    <w:rsid w:val="000600B8"/>
    <w:rsid w:val="00062D0A"/>
    <w:rsid w:val="00122EB0"/>
    <w:rsid w:val="001278CA"/>
    <w:rsid w:val="00155FE7"/>
    <w:rsid w:val="001810BE"/>
    <w:rsid w:val="002170C2"/>
    <w:rsid w:val="002205C2"/>
    <w:rsid w:val="002B534F"/>
    <w:rsid w:val="002E7E22"/>
    <w:rsid w:val="003146AE"/>
    <w:rsid w:val="003325EE"/>
    <w:rsid w:val="00346FE9"/>
    <w:rsid w:val="003A1883"/>
    <w:rsid w:val="00430012"/>
    <w:rsid w:val="004401D8"/>
    <w:rsid w:val="00450B38"/>
    <w:rsid w:val="00495BD9"/>
    <w:rsid w:val="004A3ED7"/>
    <w:rsid w:val="00561F9D"/>
    <w:rsid w:val="00582DA7"/>
    <w:rsid w:val="005E18F2"/>
    <w:rsid w:val="0061513F"/>
    <w:rsid w:val="0061744F"/>
    <w:rsid w:val="00636350"/>
    <w:rsid w:val="00680E99"/>
    <w:rsid w:val="006954AF"/>
    <w:rsid w:val="006C6379"/>
    <w:rsid w:val="006C7FC9"/>
    <w:rsid w:val="006D20B1"/>
    <w:rsid w:val="006E52C5"/>
    <w:rsid w:val="007124FA"/>
    <w:rsid w:val="007D00E1"/>
    <w:rsid w:val="007F71FB"/>
    <w:rsid w:val="00805908"/>
    <w:rsid w:val="00823A74"/>
    <w:rsid w:val="0088132F"/>
    <w:rsid w:val="008C4868"/>
    <w:rsid w:val="008D024E"/>
    <w:rsid w:val="00945ED6"/>
    <w:rsid w:val="009677B3"/>
    <w:rsid w:val="00972A3C"/>
    <w:rsid w:val="00991BEA"/>
    <w:rsid w:val="00A11BB6"/>
    <w:rsid w:val="00A371F4"/>
    <w:rsid w:val="00A4304B"/>
    <w:rsid w:val="00A847DB"/>
    <w:rsid w:val="00AA6989"/>
    <w:rsid w:val="00AD018D"/>
    <w:rsid w:val="00AE0F4F"/>
    <w:rsid w:val="00BA0CF1"/>
    <w:rsid w:val="00C4012B"/>
    <w:rsid w:val="00C6276A"/>
    <w:rsid w:val="00C63E61"/>
    <w:rsid w:val="00C64336"/>
    <w:rsid w:val="00C96FBE"/>
    <w:rsid w:val="00CF759B"/>
    <w:rsid w:val="00D31B82"/>
    <w:rsid w:val="00D33DE7"/>
    <w:rsid w:val="00D37931"/>
    <w:rsid w:val="00D950F0"/>
    <w:rsid w:val="00E06CEF"/>
    <w:rsid w:val="00E812C0"/>
    <w:rsid w:val="00E8664E"/>
    <w:rsid w:val="00EB0380"/>
    <w:rsid w:val="00F85142"/>
    <w:rsid w:val="00FA0996"/>
    <w:rsid w:val="00FA2D1F"/>
    <w:rsid w:val="00FB5438"/>
    <w:rsid w:val="00FD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3260"/>
  <w15:chartTrackingRefBased/>
  <w15:docId w15:val="{D7E15426-2FB9-495B-BA49-D360C6F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954AF"/>
    <w:rPr>
      <w:rFonts w:ascii="Times New Roman" w:hAnsi="Times New Roman" w:cs="Times New Roman" w:hint="default"/>
      <w:b w:val="0"/>
      <w:bCs w:val="0"/>
      <w:i w:val="0"/>
      <w:iCs w:val="0"/>
      <w:color w:val="000000"/>
      <w:sz w:val="24"/>
      <w:szCs w:val="24"/>
    </w:rPr>
  </w:style>
  <w:style w:type="paragraph" w:styleId="FootnoteText">
    <w:name w:val="footnote text"/>
    <w:basedOn w:val="Normal"/>
    <w:link w:val="FootnoteTextChar"/>
    <w:uiPriority w:val="99"/>
    <w:unhideWhenUsed/>
    <w:rsid w:val="006954AF"/>
    <w:pPr>
      <w:spacing w:line="240" w:lineRule="auto"/>
    </w:pPr>
    <w:rPr>
      <w:rFonts w:asciiTheme="minorHAnsi" w:hAnsiTheme="minorHAnsi" w:cstheme="minorBidi"/>
      <w:sz w:val="20"/>
      <w:szCs w:val="20"/>
      <w:lang w:val="bg-BG"/>
    </w:rPr>
  </w:style>
  <w:style w:type="character" w:customStyle="1" w:styleId="FootnoteTextChar">
    <w:name w:val="Footnote Text Char"/>
    <w:basedOn w:val="DefaultParagraphFont"/>
    <w:link w:val="FootnoteText"/>
    <w:uiPriority w:val="99"/>
    <w:rsid w:val="006954AF"/>
    <w:rPr>
      <w:rFonts w:asciiTheme="minorHAnsi" w:hAnsiTheme="minorHAnsi" w:cstheme="minorBidi"/>
      <w:sz w:val="20"/>
      <w:szCs w:val="20"/>
      <w:lang w:val="bg-BG"/>
    </w:rPr>
  </w:style>
  <w:style w:type="character" w:styleId="FootnoteReference">
    <w:name w:val="footnote reference"/>
    <w:basedOn w:val="DefaultParagraphFont"/>
    <w:uiPriority w:val="99"/>
    <w:semiHidden/>
    <w:unhideWhenUsed/>
    <w:rsid w:val="006954AF"/>
    <w:rPr>
      <w:vertAlign w:val="superscript"/>
    </w:rPr>
  </w:style>
  <w:style w:type="paragraph" w:styleId="ListParagraph">
    <w:name w:val="List Paragraph"/>
    <w:basedOn w:val="Normal"/>
    <w:uiPriority w:val="34"/>
    <w:qFormat/>
    <w:rsid w:val="00A847DB"/>
    <w:pPr>
      <w:spacing w:after="160"/>
      <w:ind w:left="720"/>
      <w:contextualSpacing/>
    </w:pPr>
    <w:rPr>
      <w:rFonts w:asciiTheme="minorHAnsi" w:hAnsiTheme="minorHAnsi" w:cstheme="minorBidi"/>
      <w:sz w:val="22"/>
      <w:szCs w:val="22"/>
      <w:lang w:val="bg-BG"/>
    </w:rPr>
  </w:style>
  <w:style w:type="paragraph" w:styleId="Caption">
    <w:name w:val="caption"/>
    <w:basedOn w:val="Normal"/>
    <w:next w:val="Normal"/>
    <w:uiPriority w:val="35"/>
    <w:semiHidden/>
    <w:unhideWhenUsed/>
    <w:qFormat/>
    <w:rsid w:val="0088132F"/>
    <w:pPr>
      <w:spacing w:after="200" w:line="240" w:lineRule="auto"/>
    </w:pPr>
    <w:rPr>
      <w:i/>
      <w:iCs/>
      <w:color w:val="1F497D" w:themeColor="text2"/>
      <w:sz w:val="18"/>
      <w:szCs w:val="18"/>
    </w:rPr>
  </w:style>
  <w:style w:type="character" w:styleId="Hyperlink">
    <w:name w:val="Hyperlink"/>
    <w:basedOn w:val="DefaultParagraphFont"/>
    <w:uiPriority w:val="99"/>
    <w:unhideWhenUsed/>
    <w:rsid w:val="009677B3"/>
    <w:rPr>
      <w:color w:val="0000FF" w:themeColor="hyperlink"/>
      <w:u w:val="single"/>
    </w:rPr>
  </w:style>
  <w:style w:type="character" w:styleId="UnresolvedMention">
    <w:name w:val="Unresolved Mention"/>
    <w:basedOn w:val="DefaultParagraphFont"/>
    <w:uiPriority w:val="99"/>
    <w:semiHidden/>
    <w:unhideWhenUsed/>
    <w:rsid w:val="009677B3"/>
    <w:rPr>
      <w:color w:val="605E5C"/>
      <w:shd w:val="clear" w:color="auto" w:fill="E1DFDD"/>
    </w:rPr>
  </w:style>
  <w:style w:type="paragraph" w:styleId="Header">
    <w:name w:val="header"/>
    <w:basedOn w:val="Normal"/>
    <w:link w:val="HeaderChar"/>
    <w:uiPriority w:val="99"/>
    <w:unhideWhenUsed/>
    <w:rsid w:val="003A1883"/>
    <w:pPr>
      <w:tabs>
        <w:tab w:val="center" w:pos="4536"/>
        <w:tab w:val="right" w:pos="9072"/>
      </w:tabs>
      <w:spacing w:line="240" w:lineRule="auto"/>
    </w:pPr>
  </w:style>
  <w:style w:type="character" w:customStyle="1" w:styleId="HeaderChar">
    <w:name w:val="Header Char"/>
    <w:basedOn w:val="DefaultParagraphFont"/>
    <w:link w:val="Header"/>
    <w:uiPriority w:val="99"/>
    <w:rsid w:val="003A1883"/>
  </w:style>
  <w:style w:type="paragraph" w:styleId="Footer">
    <w:name w:val="footer"/>
    <w:basedOn w:val="Normal"/>
    <w:link w:val="FooterChar"/>
    <w:uiPriority w:val="99"/>
    <w:unhideWhenUsed/>
    <w:rsid w:val="003A1883"/>
    <w:pPr>
      <w:tabs>
        <w:tab w:val="center" w:pos="4536"/>
        <w:tab w:val="right" w:pos="9072"/>
      </w:tabs>
      <w:spacing w:line="240" w:lineRule="auto"/>
    </w:pPr>
  </w:style>
  <w:style w:type="character" w:customStyle="1" w:styleId="FooterChar">
    <w:name w:val="Footer Char"/>
    <w:basedOn w:val="DefaultParagraphFont"/>
    <w:link w:val="Footer"/>
    <w:uiPriority w:val="99"/>
    <w:rsid w:val="003A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reviewedtoday.wordpress.com/2013/05/14/guinness-bring-it-to-life-advert/" TargetMode="External"/><Relationship Id="rId3" Type="http://schemas.openxmlformats.org/officeDocument/2006/relationships/settings" Target="settings.xml"/><Relationship Id="rId7" Type="http://schemas.openxmlformats.org/officeDocument/2006/relationships/hyperlink" Target="http://www.kohlhamm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Gabi</cp:lastModifiedBy>
  <cp:revision>2</cp:revision>
  <dcterms:created xsi:type="dcterms:W3CDTF">2020-09-24T10:48:00Z</dcterms:created>
  <dcterms:modified xsi:type="dcterms:W3CDTF">2020-09-24T10:48:00Z</dcterms:modified>
</cp:coreProperties>
</file>