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8E" w:rsidRPr="004C55BF" w:rsidRDefault="00FE528E" w:rsidP="004C55B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lang w:val="bg-BG"/>
        </w:rPr>
      </w:pPr>
      <w:r w:rsidRPr="00FE528E">
        <w:rPr>
          <w:rFonts w:ascii="Times New Roman" w:eastAsia="Calibri" w:hAnsi="Times New Roman" w:cs="Times New Roman"/>
          <w:b/>
          <w:bCs/>
          <w:color w:val="000000"/>
          <w:sz w:val="24"/>
          <w:lang w:val="pl-PL"/>
        </w:rPr>
        <w:t>Zagadnienia do egzaminu</w:t>
      </w:r>
      <w:r w:rsidRPr="00FE528E">
        <w:rPr>
          <w:rFonts w:ascii="Times New Roman" w:eastAsia="Calibri" w:hAnsi="Times New Roman" w:cs="Times New Roman"/>
          <w:b/>
          <w:bCs/>
          <w:color w:val="000000"/>
          <w:sz w:val="24"/>
          <w:lang w:val="bg-BG"/>
        </w:rPr>
        <w:t xml:space="preserve"> </w:t>
      </w:r>
      <w:r w:rsidRPr="00FE528E">
        <w:rPr>
          <w:rFonts w:ascii="Times New Roman" w:eastAsia="Calibri" w:hAnsi="Times New Roman" w:cs="Times New Roman"/>
          <w:b/>
          <w:bCs/>
          <w:color w:val="000000"/>
          <w:sz w:val="24"/>
          <w:lang w:val="pl-PL"/>
        </w:rPr>
        <w:t>państwowego z gramatyki opisowej języka polskiego</w:t>
      </w:r>
      <w:bookmarkStart w:id="0" w:name="_GoBack"/>
      <w:bookmarkEnd w:id="0"/>
    </w:p>
    <w:p w:rsidR="00FE528E" w:rsidRPr="004C55BF" w:rsidRDefault="00FE528E" w:rsidP="00BB6B0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lang w:val="bg-BG"/>
        </w:rPr>
      </w:pPr>
      <w:r w:rsidRPr="004C55BF">
        <w:rPr>
          <w:rFonts w:ascii="Times New Roman" w:eastAsia="Calibri" w:hAnsi="Times New Roman" w:cs="Times New Roman"/>
          <w:color w:val="000000"/>
          <w:sz w:val="24"/>
          <w:lang w:val="bg-BG"/>
        </w:rPr>
        <w:t>(</w:t>
      </w:r>
      <w:r w:rsidRPr="00FE528E">
        <w:rPr>
          <w:rFonts w:ascii="Times New Roman" w:eastAsia="Calibri" w:hAnsi="Times New Roman" w:cs="Times New Roman"/>
          <w:color w:val="000000"/>
          <w:sz w:val="24"/>
          <w:lang w:val="bg-BG"/>
        </w:rPr>
        <w:t>Конспект</w:t>
      </w:r>
      <w:r w:rsidRPr="004C55BF">
        <w:rPr>
          <w:rFonts w:ascii="Times New Roman" w:eastAsia="Calibri" w:hAnsi="Times New Roman" w:cs="Times New Roman"/>
          <w:color w:val="000000"/>
          <w:sz w:val="24"/>
          <w:lang w:val="bg-BG"/>
        </w:rPr>
        <w:t xml:space="preserve"> </w:t>
      </w:r>
      <w:r w:rsidRPr="00FE528E">
        <w:rPr>
          <w:rFonts w:ascii="Times New Roman" w:eastAsia="Calibri" w:hAnsi="Times New Roman" w:cs="Times New Roman"/>
          <w:color w:val="000000"/>
          <w:sz w:val="24"/>
          <w:lang w:val="bg-BG"/>
        </w:rPr>
        <w:t xml:space="preserve">за </w:t>
      </w:r>
      <w:r w:rsidR="00BB6B02">
        <w:rPr>
          <w:rFonts w:ascii="Times New Roman" w:eastAsia="Calibri" w:hAnsi="Times New Roman" w:cs="Times New Roman"/>
          <w:color w:val="000000"/>
          <w:sz w:val="24"/>
          <w:lang w:val="bg-BG"/>
        </w:rPr>
        <w:t>теоретичен държавен изпит по</w:t>
      </w:r>
      <w:r w:rsidRPr="00FE528E">
        <w:rPr>
          <w:rFonts w:ascii="Times New Roman" w:eastAsia="Calibri" w:hAnsi="Times New Roman" w:cs="Times New Roman"/>
          <w:color w:val="000000"/>
          <w:sz w:val="24"/>
          <w:lang w:val="bg-BG"/>
        </w:rPr>
        <w:t xml:space="preserve"> полски език</w:t>
      </w:r>
      <w:r w:rsidRPr="004C55BF">
        <w:rPr>
          <w:rFonts w:ascii="Times New Roman" w:eastAsia="Calibri" w:hAnsi="Times New Roman" w:cs="Times New Roman"/>
          <w:color w:val="000000"/>
          <w:sz w:val="24"/>
          <w:lang w:val="bg-BG"/>
        </w:rPr>
        <w:t>)</w:t>
      </w:r>
    </w:p>
    <w:p w:rsidR="00CD1318" w:rsidRPr="00FE528E" w:rsidRDefault="00CD1318" w:rsidP="00BB6B0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lang w:val="bg-BG"/>
        </w:rPr>
      </w:pP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i/>
          <w:sz w:val="24"/>
          <w:lang w:val="pl-PL"/>
        </w:rPr>
      </w:pPr>
      <w:r w:rsidRPr="00FE528E">
        <w:rPr>
          <w:rFonts w:ascii="Times New Roman" w:eastAsia="Calibri" w:hAnsi="Times New Roman" w:cs="Times New Roman"/>
          <w:i/>
          <w:sz w:val="24"/>
          <w:lang w:val="pl-PL"/>
        </w:rPr>
        <w:t>Fonetyka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sz w:val="24"/>
          <w:lang w:val="pl-PL"/>
        </w:rPr>
      </w:pPr>
      <w:r w:rsidRPr="00FE528E">
        <w:rPr>
          <w:rFonts w:ascii="Times New Roman" w:eastAsia="Calibri" w:hAnsi="Times New Roman" w:cs="Times New Roman"/>
          <w:sz w:val="24"/>
          <w:lang w:val="pl-PL"/>
        </w:rPr>
        <w:t>1. Artykulacyjna charakterystyka i klasyfikacja samogłosek. Opis fonologiczny – inwentarz fonemów samogłoskowych, dystrybucja i allofonia glajdów i sonantów.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sz w:val="24"/>
          <w:lang w:val="pl-PL"/>
        </w:rPr>
      </w:pPr>
      <w:r w:rsidRPr="00FE528E">
        <w:rPr>
          <w:rFonts w:ascii="Times New Roman" w:eastAsia="Calibri" w:hAnsi="Times New Roman" w:cs="Times New Roman"/>
          <w:sz w:val="24"/>
          <w:lang w:val="pl-PL"/>
        </w:rPr>
        <w:t>2. Klasyfikacja spółgłosek ze względu na sposób artykulacji i według miejsca artykulacji. System fonemów spółgłoskowych. Korelacje dźwięczności i palatalności.</w:t>
      </w:r>
    </w:p>
    <w:p w:rsidR="00CD1318" w:rsidRPr="00FE528E" w:rsidRDefault="00CD1318" w:rsidP="00BB6B0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lang w:val="pl-PL"/>
        </w:rPr>
      </w:pP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i/>
          <w:color w:val="000000"/>
          <w:sz w:val="24"/>
          <w:lang w:val="pl-PL"/>
        </w:rPr>
        <w:t>Morfologia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3. Kryteria klasyfikacji leksemów polskich na klasy funkcjonalne. Analiza morfologiczna, typologia morfemów. System kategorii morfologicznych języka polskiego.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4. Metody opisu deklinacji. Klasyfikacja fleksyjna rzeczowników. Deklinacja pierwsza (żeńska): klasy rzeczowników, fleksja wyjątkowa.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5. Deklinacja męska: klasy, typy i podtypy rzeczowników. Kategorie żywotności i męskoosobowości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6. Predykatywy. Czasowniki i predykatywy nieczasownikowe. Podział tematów czasownikowych na koniugacje. Sufiksy tematyczne. Paradygmaty czasu teraźniejszego i przeszłego.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7. Kryteria klasyfikacji zaimków. Klasy znaczeniowe zaimków. Morfologiczne właściwości zaimków rzeczownych.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8. Klasy liczebników polskich. Funkcje liczebników w grupach imiennych. Paradygmaty fleksyjne liczebników.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9. Semantyczne, syntaktyczne i morfologiczne właściwości przymiotników. Rzeczownikowe formy przymiotników. Stopniowanie absolutne i względne.</w:t>
      </w:r>
    </w:p>
    <w:p w:rsidR="00CD1318" w:rsidRPr="00FE528E" w:rsidRDefault="00CD1318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i/>
          <w:color w:val="000000"/>
          <w:sz w:val="24"/>
          <w:lang w:val="pl-PL"/>
        </w:rPr>
        <w:t xml:space="preserve">Słowotwórstwo 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10. Podstawowe pojęcia opisu słowotwórstwa. Status morfemów słowotwórczych, funkcje formantów a role argumentów. Derywaty transpozycyjne, modyfikacyjne i mutacyjne. Kategorie i typy słowotwórcze.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lastRenderedPageBreak/>
        <w:t>11. Charakterystyka ogólna derywatów rzeczownikowych. Rzeczowniki odczasownikowe i odprzymiotnikowe. Rzeczowniki złożone.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12. Słowotwórstwo przymiotników od podstaw czasownikowych, rzeczownikowych, przymiotnikowych i od wyrażeń przyimkowych. Przymiotniki złożone.</w:t>
      </w:r>
    </w:p>
    <w:p w:rsidR="00CD1318" w:rsidRPr="00FE528E" w:rsidRDefault="00CD1318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i/>
          <w:color w:val="000000"/>
          <w:sz w:val="24"/>
          <w:lang w:val="pl-PL"/>
        </w:rPr>
        <w:t xml:space="preserve">Semantyka 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13. Model semantyczno-generatywny opisu współczesnego języka polskiego. Hierarchia składni.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14. Semantyczne właściwości predykatów i argumentów – klasyfikacje predykatów. Syntaktyczny opis struktur predykatowo-argumentowych – typy pozycji dla argumentów: implikowane i nieimplikowane.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15. Struktury predykatowo-argumentowe z predykatami wyższego rzędu. Modele eksplikacyjne polskich zdań.</w:t>
      </w:r>
    </w:p>
    <w:p w:rsidR="00CD1318" w:rsidRPr="00FE528E" w:rsidRDefault="00CD1318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i/>
          <w:color w:val="000000"/>
          <w:sz w:val="24"/>
          <w:lang w:val="pl-PL"/>
        </w:rPr>
        <w:t>Składnia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16. Jednostki analizy składniowej. Akomodacja syntaktyczna – związek zgody, rządu i przynależności, kierunki akomodacji.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17. Grupy imienne w polskim zdaniu. Grupa podmiotu: formy gramatyczne podmiotu, blokada podmiotu. Człony podrzędne w grupie imiennej: formalna klasyfikacja przydawek.</w:t>
      </w:r>
    </w:p>
    <w:p w:rsidR="00CD1318" w:rsidRPr="00FE528E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>18. Grupa werbalna w polskim zdaniu: orzeczenie proste i złożone. Związek między orzeczeniem a podmiotem. Łącznik.</w:t>
      </w:r>
    </w:p>
    <w:p w:rsidR="00CD1318" w:rsidRDefault="00F702EC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bg-BG"/>
        </w:rPr>
      </w:pPr>
      <w:r w:rsidRPr="00FE528E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19. Człony podrzędne w grupie werbalnej. Dopełnienie – związek z orzeczeniem, klasyfikacja składniowa. </w:t>
      </w:r>
      <w:proofErr w:type="spellStart"/>
      <w:proofErr w:type="gramStart"/>
      <w:r w:rsidRPr="00FE528E">
        <w:rPr>
          <w:rFonts w:ascii="Times New Roman" w:eastAsia="Calibri" w:hAnsi="Times New Roman" w:cs="Times New Roman"/>
          <w:color w:val="000000"/>
          <w:sz w:val="24"/>
        </w:rPr>
        <w:t>Okoliczniki</w:t>
      </w:r>
      <w:proofErr w:type="spellEnd"/>
      <w:r w:rsidRPr="00FE528E">
        <w:rPr>
          <w:rFonts w:ascii="Times New Roman" w:eastAsia="Calibri" w:hAnsi="Times New Roman" w:cs="Times New Roman"/>
          <w:color w:val="000000"/>
          <w:sz w:val="24"/>
        </w:rPr>
        <w:t xml:space="preserve"> – </w:t>
      </w:r>
      <w:proofErr w:type="spellStart"/>
      <w:r w:rsidRPr="00FE528E">
        <w:rPr>
          <w:rFonts w:ascii="Times New Roman" w:eastAsia="Calibri" w:hAnsi="Times New Roman" w:cs="Times New Roman"/>
          <w:color w:val="000000"/>
          <w:sz w:val="24"/>
        </w:rPr>
        <w:t>klasyfikacja</w:t>
      </w:r>
      <w:proofErr w:type="spellEnd"/>
      <w:r w:rsidRPr="00FE528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FE528E">
        <w:rPr>
          <w:rFonts w:ascii="Times New Roman" w:eastAsia="Calibri" w:hAnsi="Times New Roman" w:cs="Times New Roman"/>
          <w:color w:val="000000"/>
          <w:sz w:val="24"/>
        </w:rPr>
        <w:t>semantyczna</w:t>
      </w:r>
      <w:proofErr w:type="spellEnd"/>
      <w:r w:rsidRPr="00FE528E">
        <w:rPr>
          <w:rFonts w:ascii="Times New Roman" w:eastAsia="Calibri" w:hAnsi="Times New Roman" w:cs="Times New Roman"/>
          <w:color w:val="000000"/>
          <w:sz w:val="24"/>
        </w:rPr>
        <w:t>.</w:t>
      </w:r>
      <w:proofErr w:type="gramEnd"/>
      <w:r w:rsidRPr="00FE528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FE528E">
        <w:rPr>
          <w:rFonts w:ascii="Times New Roman" w:eastAsia="Calibri" w:hAnsi="Times New Roman" w:cs="Times New Roman"/>
          <w:color w:val="000000"/>
          <w:sz w:val="24"/>
        </w:rPr>
        <w:t>Odróżnienie</w:t>
      </w:r>
      <w:proofErr w:type="spellEnd"/>
      <w:r w:rsidRPr="00FE528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FE528E">
        <w:rPr>
          <w:rFonts w:ascii="Times New Roman" w:eastAsia="Calibri" w:hAnsi="Times New Roman" w:cs="Times New Roman"/>
          <w:color w:val="000000"/>
          <w:sz w:val="24"/>
        </w:rPr>
        <w:t>dopełnienia</w:t>
      </w:r>
      <w:proofErr w:type="spellEnd"/>
      <w:r w:rsidRPr="00FE528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FE528E">
        <w:rPr>
          <w:rFonts w:ascii="Times New Roman" w:eastAsia="Calibri" w:hAnsi="Times New Roman" w:cs="Times New Roman"/>
          <w:color w:val="000000"/>
          <w:sz w:val="24"/>
        </w:rPr>
        <w:t>od</w:t>
      </w:r>
      <w:proofErr w:type="spellEnd"/>
      <w:proofErr w:type="gramEnd"/>
      <w:r w:rsidRPr="00FE528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FE528E">
        <w:rPr>
          <w:rFonts w:ascii="Times New Roman" w:eastAsia="Calibri" w:hAnsi="Times New Roman" w:cs="Times New Roman"/>
          <w:color w:val="000000"/>
          <w:sz w:val="24"/>
        </w:rPr>
        <w:t>okolicznika</w:t>
      </w:r>
      <w:proofErr w:type="spellEnd"/>
      <w:r w:rsidRPr="00FE528E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BB6B02" w:rsidRDefault="00BB6B02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bg-BG"/>
        </w:rPr>
      </w:pPr>
    </w:p>
    <w:p w:rsidR="004C55BF" w:rsidRPr="004C55BF" w:rsidRDefault="00BB6B02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bg-BG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lang w:val="pl-PL"/>
        </w:rPr>
        <w:t>Zalecana literatur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lang w:val="bg-BG"/>
        </w:rPr>
        <w:t>а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Bąk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P.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Gramatyka języka polskiego. Warszawa, 1979.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Bobrowski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J.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Gramatyka opisowa języka polskiego (Zarys modelu generatywno-transformacyjnego). Kielce, 1995.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Doroszewski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W.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Podstawy gramatyki polskiej.Warszawa, 1962.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Dukiewicz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L.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, Sawicka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I.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Gramatyka współczesnego języka polskiego.Fonetyka i fonologia. (pod red H. Wróbla), Kraków, 1995.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lastRenderedPageBreak/>
        <w:t>Gramatyka współczesnego języka polskiego. t.1. Składnia.t.2. Morfologia. (pod red. St. Urbańczyka). Warszawa, 1984.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Grzegorczykowa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R.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 xml:space="preserve">,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Wprowadzenie do semantyki językoznawczej. Warszawa, 1990.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Grzegorczykowa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R.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Wykłady z polskiej składni.Warszawa, 1999.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Jodłowski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St.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Podstawy składni polskiej. Warszawa, 1976.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Kategorie gramatyczne grup imiennych w języku polskim. Ossolineum, 1976.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Klemensiewicz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Z.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Podstawowe wiadomości z gramatyki języka polskiego, Warszawa, 1960.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Nagórko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 xml:space="preserve"> А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Zarys gramatyki języka polskiego. Warszawa, 1997.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Ostaszewska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D.,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Tambor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J.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Fonetyka i fonologia współczesnego języka polskiego. Warszawa, 2002.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Saloni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Z.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 xml:space="preserve">,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Cechy składniowe polskiego czasownika. Ossolineum, 1976.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Saloni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Z.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, M. Swidziński. Składnia współczesnego języka polskiego, Warszawa, 1981.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Swidziński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M.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Gramatyka formalna języka polskiego. Warszawa, 1992.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Tokarski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J.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Czasowniki polskie. Warszawa, 1951.</w:t>
      </w:r>
    </w:p>
    <w:p w:rsidR="004C55BF" w:rsidRPr="00BB6B02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Tokarski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J.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 xml:space="preserve">,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Fleksja polska. Warszawa, 1973.</w:t>
      </w:r>
    </w:p>
    <w:p w:rsidR="004C55BF" w:rsidRPr="004C55BF" w:rsidRDefault="004C55BF" w:rsidP="00BB6B0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Wierzchowska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>B.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>,</w:t>
      </w:r>
      <w:r w:rsidRPr="00BB6B02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 Fonetyka i fonologia języka polskiego. 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>Ossolineum,</w:t>
      </w:r>
      <w:r>
        <w:rPr>
          <w:rFonts w:ascii="Times New Roman" w:eastAsia="Calibri" w:hAnsi="Times New Roman" w:cs="Times New Roman"/>
          <w:color w:val="000000"/>
          <w:sz w:val="24"/>
          <w:lang w:val="bg-BG"/>
        </w:rPr>
        <w:t xml:space="preserve"> </w:t>
      </w:r>
      <w:r w:rsidRPr="004C55BF">
        <w:rPr>
          <w:rFonts w:ascii="Times New Roman" w:eastAsia="Calibri" w:hAnsi="Times New Roman" w:cs="Times New Roman"/>
          <w:color w:val="000000"/>
          <w:sz w:val="24"/>
          <w:lang w:val="pl-PL"/>
        </w:rPr>
        <w:t>1980.</w:t>
      </w:r>
    </w:p>
    <w:sectPr w:rsidR="004C55BF" w:rsidRPr="004C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18"/>
    <w:rsid w:val="004C55BF"/>
    <w:rsid w:val="00BB6B02"/>
    <w:rsid w:val="00CD1318"/>
    <w:rsid w:val="00F702E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5CCD-957A-4FF0-908C-BBE6F2C6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2018-04-22T13:17:00Z</dcterms:created>
  <dcterms:modified xsi:type="dcterms:W3CDTF">2020-03-04T08:34:00Z</dcterms:modified>
</cp:coreProperties>
</file>