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8D" w:rsidRDefault="00596C8D" w:rsidP="009217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96C8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СТАНОВИЩЕ</w:t>
      </w:r>
    </w:p>
    <w:p w:rsidR="00DC0F65" w:rsidRDefault="00596C8D" w:rsidP="009217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от проф.д-р Весела Методиева Гюрова член на научно жури</w:t>
      </w:r>
      <w:r w:rsidR="00DC0F6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596C8D" w:rsidRPr="00596C8D" w:rsidRDefault="00DC0F65" w:rsidP="009217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по протокол </w:t>
      </w:r>
      <w:r w:rsidRPr="00DC0F6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№ 1/08.07.2019 г.</w:t>
      </w:r>
    </w:p>
    <w:p w:rsidR="00596C8D" w:rsidRPr="00596C8D" w:rsidRDefault="00596C8D" w:rsidP="009217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6C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дисертационен труд </w:t>
      </w:r>
      <w:r w:rsidRPr="00596C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тема: </w:t>
      </w:r>
      <w:r w:rsidRPr="00596C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DC0F65">
        <w:rPr>
          <w:rFonts w:ascii="Times New Roman" w:hAnsi="Times New Roman"/>
          <w:b/>
          <w:caps/>
          <w:sz w:val="24"/>
          <w:szCs w:val="24"/>
        </w:rPr>
        <w:t>Подобряване на социалната компетентност в прехода от детската градина към началното училище</w:t>
      </w:r>
      <w:r w:rsidRPr="00596C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F964FA" w:rsidRDefault="00596C8D" w:rsidP="009217A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разработен от </w:t>
      </w:r>
      <w:r w:rsidRPr="00596C8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Христина </w:t>
      </w:r>
      <w:proofErr w:type="spellStart"/>
      <w:r w:rsidRPr="00596C8D">
        <w:rPr>
          <w:rFonts w:ascii="Times New Roman" w:eastAsia="Times New Roman" w:hAnsi="Times New Roman"/>
          <w:b/>
          <w:sz w:val="24"/>
          <w:szCs w:val="24"/>
          <w:lang w:eastAsia="bg-BG"/>
        </w:rPr>
        <w:t>Апостолос</w:t>
      </w:r>
      <w:proofErr w:type="spellEnd"/>
      <w:r w:rsidRPr="00596C8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596C8D">
        <w:rPr>
          <w:rFonts w:ascii="Times New Roman" w:eastAsia="Times New Roman" w:hAnsi="Times New Roman"/>
          <w:b/>
          <w:sz w:val="24"/>
          <w:szCs w:val="24"/>
          <w:lang w:eastAsia="bg-BG"/>
        </w:rPr>
        <w:t>Папазиси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96C8D">
        <w:rPr>
          <w:rFonts w:ascii="Times New Roman" w:hAnsi="Times New Roman"/>
          <w:b/>
          <w:sz w:val="24"/>
          <w:szCs w:val="24"/>
        </w:rPr>
        <w:t>редовен докторант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68A">
        <w:rPr>
          <w:rFonts w:ascii="Times New Roman" w:hAnsi="Times New Roman"/>
          <w:sz w:val="24"/>
          <w:szCs w:val="24"/>
        </w:rPr>
        <w:t xml:space="preserve">по професионално направление </w:t>
      </w:r>
      <w:r w:rsidRPr="006E5687">
        <w:rPr>
          <w:rFonts w:ascii="Times New Roman" w:hAnsi="Times New Roman"/>
          <w:sz w:val="24"/>
          <w:szCs w:val="24"/>
        </w:rPr>
        <w:t>1.2. Педагогика (Предучилищна педагогика)</w:t>
      </w:r>
      <w:r w:rsidRPr="007D668A">
        <w:rPr>
          <w:rFonts w:ascii="Times New Roman" w:hAnsi="Times New Roman"/>
          <w:sz w:val="24"/>
          <w:szCs w:val="24"/>
        </w:rPr>
        <w:t xml:space="preserve"> с обучение на английски</w:t>
      </w:r>
      <w:r>
        <w:rPr>
          <w:rFonts w:ascii="Times New Roman" w:hAnsi="Times New Roman"/>
          <w:sz w:val="24"/>
          <w:szCs w:val="24"/>
        </w:rPr>
        <w:t xml:space="preserve"> език</w:t>
      </w:r>
      <w:r w:rsidRPr="00596C8D">
        <w:t xml:space="preserve"> </w:t>
      </w:r>
      <w:r w:rsidRPr="00596C8D">
        <w:rPr>
          <w:rFonts w:ascii="Times New Roman" w:hAnsi="Times New Roman"/>
          <w:sz w:val="24"/>
          <w:szCs w:val="24"/>
        </w:rPr>
        <w:t>научен ръководител: проф.</w:t>
      </w:r>
      <w:r w:rsidR="00DC0F65">
        <w:rPr>
          <w:rFonts w:ascii="Times New Roman" w:hAnsi="Times New Roman"/>
          <w:sz w:val="24"/>
          <w:szCs w:val="24"/>
        </w:rPr>
        <w:t xml:space="preserve"> </w:t>
      </w:r>
      <w:r w:rsidRPr="00596C8D">
        <w:rPr>
          <w:rFonts w:ascii="Times New Roman" w:hAnsi="Times New Roman"/>
          <w:sz w:val="24"/>
          <w:szCs w:val="24"/>
        </w:rPr>
        <w:t>д-р Весела Гюрова.</w:t>
      </w:r>
    </w:p>
    <w:p w:rsidR="00DC0F65" w:rsidRDefault="00DC0F65" w:rsidP="009217A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17AA" w:rsidRDefault="00DC0F65" w:rsidP="009217AA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4C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Актуалност и значимост на проблематиката</w:t>
      </w:r>
      <w:r w:rsidRPr="00E94C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Темата определено е центрирана в областта на значимите през 21 век европейски ключови компетентности и проучването им в апробиран интерактивен модел, разработен от докторантката в научно направление 1.2. Педагогика, но с емпирично доказана статистическа значимост за началния етап от  средното образование. Експериментално се потвърждават възможности за акцентирането върху социалните ком</w:t>
      </w:r>
      <w:r w:rsidR="00E94CAD" w:rsidRPr="00E94CAD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петенции, обуславящи адаптивен</w:t>
      </w:r>
      <w:r w:rsidRPr="00E94C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преход към училище. </w:t>
      </w:r>
      <w:r w:rsidR="00E94CAD" w:rsidRPr="00E94CA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Докторантката убедително провежда сравнително изследване, ценно за институциите в проектно-ориентиран европейски план.</w:t>
      </w:r>
      <w:r w:rsidR="00E7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този смисъл темата не е разработвана досега от докторанти.</w:t>
      </w:r>
      <w:r w:rsidR="00E94C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217AA" w:rsidRPr="009217AA" w:rsidRDefault="00E94CAD" w:rsidP="00921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7A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Доказателство за това са публикациите й, интерпретиращи ключови понятия като социално перцепция, социална култура, социална компетентност. социални умения, емоционална интелигентност, самоувереност, социална тревожност, социален контекст, уменията и интересите на детето и тези на връстниците.</w:t>
      </w:r>
      <w:r w:rsidR="009217AA" w:rsidRPr="009217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се отнася критично към институционалното надценяване на знанията при прехода от детска градина в началния етап, докторантката убедително защитава ценността на докторската си тема за устойчивостта на детската индивидуалност </w:t>
      </w:r>
      <w:r w:rsidR="00E76584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периода на промяна на нейната</w:t>
      </w:r>
      <w:r w:rsidR="009217AA" w:rsidRPr="009217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76584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социална среда и адаптирането й</w:t>
      </w:r>
      <w:r w:rsidR="009217AA" w:rsidRPr="009217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нея.</w:t>
      </w:r>
      <w:r w:rsidR="009217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Връзката с връстниците тя определя като </w:t>
      </w:r>
      <w:r w:rsidR="009217AA" w:rsidRPr="009217AA">
        <w:rPr>
          <w:rFonts w:ascii="Times New Roman" w:eastAsia="Times New Roman" w:hAnsi="Times New Roman" w:cs="Times New Roman"/>
          <w:sz w:val="24"/>
          <w:szCs w:val="24"/>
          <w:lang w:eastAsia="bg-BG"/>
        </w:rPr>
        <w:t>много важна за наличието на добри социални умения и добре разв</w:t>
      </w:r>
      <w:r w:rsidR="009217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ита социална компетентност, като се посочват </w:t>
      </w:r>
      <w:r w:rsidR="009217AA" w:rsidRPr="009217AA">
        <w:rPr>
          <w:rFonts w:ascii="Times New Roman" w:eastAsia="Times New Roman" w:hAnsi="Times New Roman" w:cs="Times New Roman"/>
          <w:sz w:val="24"/>
          <w:szCs w:val="24"/>
          <w:lang w:eastAsia="bg-BG"/>
        </w:rPr>
        <w:t>дългосрочни еф</w:t>
      </w:r>
      <w:r w:rsidR="000510B5">
        <w:rPr>
          <w:rFonts w:ascii="Times New Roman" w:eastAsia="Times New Roman" w:hAnsi="Times New Roman" w:cs="Times New Roman"/>
          <w:sz w:val="24"/>
          <w:szCs w:val="24"/>
          <w:lang w:eastAsia="bg-BG"/>
        </w:rPr>
        <w:t>екти от нейното ефективно изграждане</w:t>
      </w:r>
      <w:r w:rsidR="009217AA" w:rsidRPr="009217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9217AA">
        <w:rPr>
          <w:rFonts w:ascii="Times New Roman" w:eastAsia="Times New Roman" w:hAnsi="Times New Roman" w:cs="Times New Roman"/>
          <w:sz w:val="24"/>
          <w:szCs w:val="24"/>
          <w:lang w:eastAsia="bg-BG"/>
        </w:rPr>
        <w:t>Х.</w:t>
      </w:r>
      <w:r w:rsidR="00E7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217AA">
        <w:rPr>
          <w:rFonts w:ascii="Times New Roman" w:eastAsia="Times New Roman" w:hAnsi="Times New Roman" w:cs="Times New Roman"/>
          <w:sz w:val="24"/>
          <w:szCs w:val="24"/>
          <w:lang w:eastAsia="bg-BG"/>
        </w:rPr>
        <w:t>Папазиси</w:t>
      </w:r>
      <w:proofErr w:type="spellEnd"/>
      <w:r w:rsidR="009217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извежда </w:t>
      </w:r>
      <w:r w:rsidR="009217AA" w:rsidRPr="009217AA">
        <w:rPr>
          <w:rFonts w:ascii="Times New Roman" w:eastAsia="Times New Roman" w:hAnsi="Times New Roman" w:cs="Times New Roman"/>
          <w:sz w:val="24"/>
          <w:szCs w:val="24"/>
          <w:lang w:eastAsia="bg-BG"/>
        </w:rPr>
        <w:t>адекв</w:t>
      </w:r>
      <w:r w:rsidR="009217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атната </w:t>
      </w:r>
      <w:r w:rsidR="009217AA" w:rsidRPr="00E7658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социална компетентност за приоритетна</w:t>
      </w:r>
      <w:r w:rsidR="009217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217AA" w:rsidRPr="009217AA">
        <w:rPr>
          <w:rFonts w:ascii="Times New Roman" w:eastAsia="Times New Roman" w:hAnsi="Times New Roman" w:cs="Times New Roman"/>
          <w:sz w:val="24"/>
          <w:szCs w:val="24"/>
          <w:lang w:eastAsia="bg-BG"/>
        </w:rPr>
        <w:t>в детска</w:t>
      </w:r>
      <w:r w:rsidR="009217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 градина, особено при </w:t>
      </w:r>
      <w:r w:rsidR="009217AA" w:rsidRPr="009217A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преход</w:t>
      </w:r>
      <w:r w:rsidR="009217AA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9217AA" w:rsidRPr="009217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детска</w:t>
      </w:r>
      <w:r w:rsidR="009217AA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9217AA" w:rsidRPr="009217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</w:t>
      </w:r>
      <w:r w:rsidR="009217AA">
        <w:rPr>
          <w:rFonts w:ascii="Times New Roman" w:eastAsia="Times New Roman" w:hAnsi="Times New Roman" w:cs="Times New Roman"/>
          <w:sz w:val="24"/>
          <w:szCs w:val="24"/>
          <w:lang w:eastAsia="bg-BG"/>
        </w:rPr>
        <w:t>адина към първи клас</w:t>
      </w:r>
      <w:r w:rsidR="009217AA" w:rsidRPr="009217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2361A3" w:rsidRPr="000510B5" w:rsidRDefault="00E94CAD" w:rsidP="000510B5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10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Структура и съдържание на дисертационния труд.</w:t>
      </w:r>
      <w:r w:rsidR="002361A3" w:rsidRPr="000510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510B5" w:rsidRDefault="002361A3" w:rsidP="000510B5">
      <w:pPr>
        <w:pStyle w:val="Default"/>
        <w:spacing w:line="360" w:lineRule="auto"/>
        <w:ind w:firstLine="567"/>
        <w:jc w:val="both"/>
      </w:pPr>
      <w:r w:rsidRPr="000510B5">
        <w:rPr>
          <w:b/>
        </w:rPr>
        <w:t xml:space="preserve">2.1. </w:t>
      </w:r>
      <w:r w:rsidR="000510B5" w:rsidRPr="000510B5">
        <w:rPr>
          <w:b/>
        </w:rPr>
        <w:t>Структура  на дисертационния труд</w:t>
      </w:r>
      <w:r w:rsidR="000510B5">
        <w:t xml:space="preserve">. </w:t>
      </w:r>
      <w:r>
        <w:t>Той е в обем 147</w:t>
      </w:r>
      <w:r w:rsidRPr="007D6A6A">
        <w:t xml:space="preserve"> </w:t>
      </w:r>
      <w:r>
        <w:t xml:space="preserve">стандартни </w:t>
      </w:r>
      <w:r w:rsidR="000510B5">
        <w:t>страници основен текст, но с</w:t>
      </w:r>
      <w:r w:rsidR="00E56E74" w:rsidRPr="00E56E74">
        <w:rPr>
          <w:lang w:val="ru-RU"/>
        </w:rPr>
        <w:t xml:space="preserve"> </w:t>
      </w:r>
      <w:r w:rsidR="00E56E74">
        <w:t>приложенията от</w:t>
      </w:r>
      <w:r>
        <w:t xml:space="preserve"> диагностични</w:t>
      </w:r>
      <w:r w:rsidRPr="007D6A6A">
        <w:t xml:space="preserve"> процедури, включени в </w:t>
      </w:r>
      <w:r w:rsidRPr="007D6A6A">
        <w:lastRenderedPageBreak/>
        <w:t>дисертационното из</w:t>
      </w:r>
      <w:r>
        <w:t>следване, експериментални</w:t>
      </w:r>
      <w:r w:rsidR="00E56E74">
        <w:t>те</w:t>
      </w:r>
      <w:r>
        <w:t xml:space="preserve"> ситуации</w:t>
      </w:r>
      <w:r w:rsidR="000510B5">
        <w:t>, библиография</w:t>
      </w:r>
      <w:r w:rsidR="00E56E74">
        <w:t>та,</w:t>
      </w:r>
      <w:r w:rsidR="000510B5">
        <w:t xml:space="preserve"> той е общо 200 страници</w:t>
      </w:r>
      <w:r>
        <w:t xml:space="preserve">. </w:t>
      </w:r>
      <w:r w:rsidRPr="007D6A6A">
        <w:t xml:space="preserve">Трудът е </w:t>
      </w:r>
      <w:r w:rsidRPr="00047840">
        <w:rPr>
          <w:b/>
          <w:i/>
        </w:rPr>
        <w:t xml:space="preserve">структуриран </w:t>
      </w:r>
      <w:r w:rsidRPr="007D6A6A">
        <w:t>в увод, изложение в три глави, заключение и изводи, библиография</w:t>
      </w:r>
      <w:r>
        <w:t xml:space="preserve"> от 195 източника</w:t>
      </w:r>
      <w:r w:rsidRPr="007D6A6A">
        <w:t xml:space="preserve">, </w:t>
      </w:r>
      <w:r>
        <w:t xml:space="preserve">7 </w:t>
      </w:r>
      <w:r w:rsidRPr="007D6A6A">
        <w:t>приложения</w:t>
      </w:r>
      <w:r>
        <w:t xml:space="preserve"> за провеждането на интервю с учители и родители, регистър на наблюдавани прояви, скали за социално приемане на социалната компетентност, за интерактивна партньорска игра, за прояви на со</w:t>
      </w:r>
      <w:r w:rsidR="000510B5">
        <w:t>циална компетентност на родител</w:t>
      </w:r>
      <w:r>
        <w:t xml:space="preserve">и </w:t>
      </w:r>
      <w:r w:rsidR="000510B5">
        <w:t xml:space="preserve"> и </w:t>
      </w:r>
      <w:r>
        <w:t>на учители. Доказателственият материал в труда включва</w:t>
      </w:r>
      <w:r w:rsidR="000510B5">
        <w:t xml:space="preserve"> 5 таблици, 19 графики.</w:t>
      </w:r>
    </w:p>
    <w:p w:rsidR="002361A3" w:rsidRDefault="002361A3" w:rsidP="000510B5">
      <w:pPr>
        <w:pStyle w:val="Default"/>
        <w:spacing w:line="360" w:lineRule="auto"/>
        <w:ind w:firstLine="567"/>
        <w:jc w:val="both"/>
      </w:pPr>
      <w:r>
        <w:t xml:space="preserve">2.2. В </w:t>
      </w:r>
      <w:r w:rsidRPr="00844EBD">
        <w:rPr>
          <w:b/>
        </w:rPr>
        <w:t>съдържателен</w:t>
      </w:r>
      <w:r>
        <w:t xml:space="preserve"> план: </w:t>
      </w:r>
    </w:p>
    <w:p w:rsidR="002361A3" w:rsidRDefault="002361A3" w:rsidP="00E13516">
      <w:pPr>
        <w:pStyle w:val="Default"/>
        <w:numPr>
          <w:ilvl w:val="0"/>
          <w:numId w:val="2"/>
        </w:numPr>
        <w:spacing w:line="360" w:lineRule="auto"/>
        <w:ind w:left="0" w:hanging="11"/>
        <w:jc w:val="both"/>
      </w:pPr>
      <w:r>
        <w:t xml:space="preserve">В </w:t>
      </w:r>
      <w:r w:rsidRPr="00047840">
        <w:rPr>
          <w:b/>
          <w:i/>
        </w:rPr>
        <w:t>теоретичната постановка на проблема</w:t>
      </w:r>
      <w:r>
        <w:t xml:space="preserve"> се откроява критичният авторски анализ и компетентната сравнителна оценка. Изследователският</w:t>
      </w:r>
      <w:r w:rsidR="000510B5">
        <w:t xml:space="preserve"> поглед на  Х</w:t>
      </w:r>
      <w:r>
        <w:t xml:space="preserve"> </w:t>
      </w:r>
      <w:proofErr w:type="spellStart"/>
      <w:r w:rsidR="000510B5">
        <w:t>Папазиси</w:t>
      </w:r>
      <w:proofErr w:type="spellEnd"/>
      <w:r w:rsidR="000510B5">
        <w:t xml:space="preserve"> </w:t>
      </w:r>
      <w:r>
        <w:t>систематизира в логическа връзка тенденциите на автори от институции и от фондации в САЩ, в Европа и в нашата страна по</w:t>
      </w:r>
      <w:r w:rsidR="00E13516">
        <w:t xml:space="preserve"> отношението на проучването на социалните умения н</w:t>
      </w:r>
      <w:r w:rsidR="00E76584">
        <w:t xml:space="preserve">а децата </w:t>
      </w:r>
      <w:r w:rsidR="00E76584" w:rsidRPr="00E76584">
        <w:rPr>
          <w:b/>
          <w:i/>
        </w:rPr>
        <w:t xml:space="preserve">от детската градина и </w:t>
      </w:r>
      <w:r w:rsidR="00E13516" w:rsidRPr="00E76584">
        <w:rPr>
          <w:b/>
          <w:i/>
        </w:rPr>
        <w:t>от първи клас</w:t>
      </w:r>
      <w:r w:rsidR="00E13516">
        <w:t xml:space="preserve">, както и на </w:t>
      </w:r>
      <w:r>
        <w:t>използването на игровата дейност в предучилищното образование</w:t>
      </w:r>
      <w:r w:rsidR="00E13516">
        <w:t xml:space="preserve"> за социализирането на подрастващите</w:t>
      </w:r>
      <w:r>
        <w:t>. При това – не само като цел</w:t>
      </w:r>
      <w:r w:rsidR="00E13516">
        <w:t xml:space="preserve">, </w:t>
      </w:r>
      <w:r>
        <w:t xml:space="preserve">а като </w:t>
      </w:r>
      <w:r w:rsidRPr="00E76584">
        <w:rPr>
          <w:b/>
          <w:i/>
        </w:rPr>
        <w:t>основа за придобиването на компетенции до седемгодишна възраст</w:t>
      </w:r>
      <w:r>
        <w:t xml:space="preserve">. Тя извежда водещите приоритети от новия век насам в масовото използване на </w:t>
      </w:r>
      <w:r w:rsidR="00E13516">
        <w:t>„</w:t>
      </w:r>
      <w:r w:rsidR="00E13516" w:rsidRPr="00E76584">
        <w:rPr>
          <w:b/>
          <w:i/>
        </w:rPr>
        <w:t>поведенческите/меки компетенции</w:t>
      </w:r>
      <w:r w:rsidR="00E13516">
        <w:t>“</w:t>
      </w:r>
      <w:r w:rsidR="00E76584">
        <w:t>, към които причислява социалните в контекста на игровите умения и способности</w:t>
      </w:r>
      <w:r w:rsidR="00E13516">
        <w:t>.</w:t>
      </w:r>
    </w:p>
    <w:p w:rsidR="002361A3" w:rsidRDefault="002361A3" w:rsidP="002361A3">
      <w:pPr>
        <w:pStyle w:val="Default"/>
        <w:numPr>
          <w:ilvl w:val="0"/>
          <w:numId w:val="2"/>
        </w:numPr>
        <w:spacing w:line="360" w:lineRule="auto"/>
        <w:ind w:left="0" w:hanging="11"/>
        <w:jc w:val="both"/>
      </w:pPr>
      <w:r>
        <w:t xml:space="preserve">Интерпретирането на моделните </w:t>
      </w:r>
      <w:r w:rsidR="00E76584">
        <w:t xml:space="preserve">игрови </w:t>
      </w:r>
      <w:r>
        <w:t>техноло</w:t>
      </w:r>
      <w:r w:rsidR="00E76584">
        <w:t>гии, трансформирани</w:t>
      </w:r>
      <w:r w:rsidR="00E13516">
        <w:t xml:space="preserve"> в европейски</w:t>
      </w:r>
      <w:r>
        <w:t xml:space="preserve"> вариант също е основа на теоретико-обзорна систематизация чрез позоваване върху предходни изследвания и на извеждането на </w:t>
      </w:r>
      <w:r w:rsidRPr="0030042A">
        <w:rPr>
          <w:b/>
          <w:i/>
        </w:rPr>
        <w:t>основни работни понятия и принципи</w:t>
      </w:r>
      <w:r w:rsidR="00E13516">
        <w:t xml:space="preserve">, използвани </w:t>
      </w:r>
      <w:r>
        <w:t xml:space="preserve">в труда. Това се постига при използването на </w:t>
      </w:r>
      <w:r w:rsidRPr="00156636">
        <w:rPr>
          <w:b/>
          <w:i/>
        </w:rPr>
        <w:t>приоритетите на европейското образование, ключовите компетенции, новите законодателни документи</w:t>
      </w:r>
      <w:r>
        <w:t>, несъмнено доказани като оценяване на научни възможности от докторантката и във функциите й на</w:t>
      </w:r>
      <w:r w:rsidR="00E13516">
        <w:t xml:space="preserve"> експериментатор</w:t>
      </w:r>
      <w:r>
        <w:t xml:space="preserve">. </w:t>
      </w:r>
      <w:r w:rsidR="00DD02D0">
        <w:t xml:space="preserve"> </w:t>
      </w:r>
    </w:p>
    <w:p w:rsidR="00DD02D0" w:rsidRDefault="00DD02D0" w:rsidP="002361A3">
      <w:pPr>
        <w:pStyle w:val="Default"/>
        <w:numPr>
          <w:ilvl w:val="0"/>
          <w:numId w:val="2"/>
        </w:numPr>
        <w:spacing w:line="360" w:lineRule="auto"/>
        <w:ind w:left="0" w:hanging="11"/>
        <w:jc w:val="both"/>
      </w:pPr>
      <w:r w:rsidRPr="00844EBD">
        <w:rPr>
          <w:b/>
        </w:rPr>
        <w:t>В теоретичната част</w:t>
      </w:r>
      <w:r>
        <w:t xml:space="preserve"> докторантката поставя </w:t>
      </w:r>
      <w:r w:rsidRPr="00DD02D0">
        <w:rPr>
          <w:b/>
        </w:rPr>
        <w:t>три важни акцента</w:t>
      </w:r>
      <w:r>
        <w:t xml:space="preserve">, който </w:t>
      </w:r>
      <w:proofErr w:type="spellStart"/>
      <w:r>
        <w:t>съподчинява</w:t>
      </w:r>
      <w:proofErr w:type="spellEnd"/>
      <w:r>
        <w:t xml:space="preserve"> и анализира задълбочено във възрастов сравнителен план:</w:t>
      </w:r>
    </w:p>
    <w:p w:rsidR="00DD02D0" w:rsidRPr="00DD02D0" w:rsidRDefault="00DD02D0" w:rsidP="00DD02D0">
      <w:pPr>
        <w:pStyle w:val="Default"/>
        <w:numPr>
          <w:ilvl w:val="0"/>
          <w:numId w:val="3"/>
        </w:numPr>
        <w:spacing w:line="360" w:lineRule="auto"/>
        <w:jc w:val="both"/>
      </w:pPr>
      <w:r w:rsidRPr="0032152C">
        <w:rPr>
          <w:b/>
          <w:i/>
        </w:rPr>
        <w:t>Социална компетентност</w:t>
      </w:r>
      <w:r>
        <w:t xml:space="preserve"> </w:t>
      </w:r>
      <w:r w:rsidRPr="00DD02D0">
        <w:t>на децата в пред</w:t>
      </w:r>
      <w:r>
        <w:t>училищна възраст (4</w:t>
      </w:r>
      <w:r w:rsidR="00E76584">
        <w:t xml:space="preserve"> </w:t>
      </w:r>
      <w:r>
        <w:t>-</w:t>
      </w:r>
      <w:r w:rsidR="00E76584">
        <w:t xml:space="preserve"> </w:t>
      </w:r>
      <w:r>
        <w:t xml:space="preserve">6 години) и </w:t>
      </w:r>
      <w:r w:rsidRPr="00DD02D0">
        <w:t>на децата от началното училище (7</w:t>
      </w:r>
      <w:r w:rsidR="00E76584">
        <w:t xml:space="preserve"> </w:t>
      </w:r>
      <w:r w:rsidRPr="00DD02D0">
        <w:t>-</w:t>
      </w:r>
      <w:r w:rsidR="00E76584">
        <w:t xml:space="preserve"> </w:t>
      </w:r>
      <w:r w:rsidRPr="00DD02D0">
        <w:t>8 години)</w:t>
      </w:r>
      <w:r w:rsidR="00E56E74">
        <w:t xml:space="preserve">, като тя я разглежда в резултат на </w:t>
      </w:r>
      <w:r w:rsidR="00E56E74" w:rsidRPr="00E76584">
        <w:rPr>
          <w:b/>
          <w:i/>
        </w:rPr>
        <w:t>социалната ефективност на поведението</w:t>
      </w:r>
      <w:r w:rsidR="00E56E74">
        <w:t xml:space="preserve"> спрямо другите</w:t>
      </w:r>
      <w:r>
        <w:t>;</w:t>
      </w:r>
    </w:p>
    <w:p w:rsidR="00DD02D0" w:rsidRDefault="00DD02D0" w:rsidP="00DD02D0">
      <w:pPr>
        <w:pStyle w:val="Default"/>
        <w:numPr>
          <w:ilvl w:val="0"/>
          <w:numId w:val="3"/>
        </w:numPr>
        <w:spacing w:line="360" w:lineRule="auto"/>
        <w:jc w:val="both"/>
      </w:pPr>
      <w:r w:rsidRPr="0032152C">
        <w:rPr>
          <w:b/>
          <w:i/>
        </w:rPr>
        <w:t>Културна компетентност</w:t>
      </w:r>
      <w:r>
        <w:t xml:space="preserve">, </w:t>
      </w:r>
      <w:r w:rsidRPr="00DD02D0">
        <w:t>връзка</w:t>
      </w:r>
      <w:r>
        <w:t xml:space="preserve">та й със социалната компетентност и нейната специфика в </w:t>
      </w:r>
      <w:r w:rsidRPr="00DD02D0">
        <w:t xml:space="preserve">предучилищна и </w:t>
      </w:r>
      <w:r>
        <w:t xml:space="preserve">в </w:t>
      </w:r>
      <w:r w:rsidRPr="00DD02D0">
        <w:t xml:space="preserve">начална </w:t>
      </w:r>
      <w:r>
        <w:t>училищна възраст;</w:t>
      </w:r>
    </w:p>
    <w:p w:rsidR="00DD02D0" w:rsidRDefault="00DD02D0" w:rsidP="00E56E74">
      <w:pPr>
        <w:pStyle w:val="Default"/>
        <w:numPr>
          <w:ilvl w:val="0"/>
          <w:numId w:val="3"/>
        </w:numPr>
        <w:spacing w:line="360" w:lineRule="auto"/>
        <w:jc w:val="both"/>
      </w:pPr>
      <w:proofErr w:type="spellStart"/>
      <w:r w:rsidRPr="0032152C">
        <w:rPr>
          <w:b/>
          <w:i/>
        </w:rPr>
        <w:lastRenderedPageBreak/>
        <w:t>Общопсихологическата</w:t>
      </w:r>
      <w:proofErr w:type="spellEnd"/>
      <w:r>
        <w:t xml:space="preserve"> характеристика на децата в динамичните преходи на </w:t>
      </w:r>
      <w:r w:rsidR="00E76584">
        <w:t>„детска</w:t>
      </w:r>
      <w:r>
        <w:t xml:space="preserve"> градина</w:t>
      </w:r>
      <w:r w:rsidR="00E76584">
        <w:t xml:space="preserve"> </w:t>
      </w:r>
      <w:r>
        <w:t>-</w:t>
      </w:r>
      <w:r w:rsidR="00E76584">
        <w:t xml:space="preserve"> </w:t>
      </w:r>
      <w:r>
        <w:t>началното училище</w:t>
      </w:r>
      <w:r w:rsidR="00E76584">
        <w:t>“</w:t>
      </w:r>
      <w:r>
        <w:t xml:space="preserve"> и взаимовръзката между инте</w:t>
      </w:r>
      <w:r w:rsidR="00E76584">
        <w:t xml:space="preserve">лектуални и емоционални прояви </w:t>
      </w:r>
      <w:r>
        <w:t>на децата.</w:t>
      </w:r>
    </w:p>
    <w:p w:rsidR="00E56E74" w:rsidRPr="000566E8" w:rsidRDefault="00E56E74" w:rsidP="000566E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EBD">
        <w:rPr>
          <w:rFonts w:ascii="Times New Roman" w:eastAsia="Calibri" w:hAnsi="Times New Roman" w:cs="Times New Roman"/>
          <w:b/>
          <w:sz w:val="24"/>
          <w:szCs w:val="24"/>
        </w:rPr>
        <w:t>В експериментално-приложното изследване</w:t>
      </w:r>
      <w:r w:rsidR="004727A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4727A5" w:rsidRPr="00844EBD">
        <w:rPr>
          <w:rFonts w:ascii="Times New Roman" w:eastAsia="Calibri" w:hAnsi="Times New Roman" w:cs="Times New Roman"/>
          <w:b/>
          <w:sz w:val="24"/>
          <w:szCs w:val="24"/>
        </w:rPr>
        <w:t>представено във втора глава</w:t>
      </w:r>
      <w:r w:rsidRPr="000566E8">
        <w:rPr>
          <w:rFonts w:ascii="Times New Roman" w:eastAsia="Calibri" w:hAnsi="Times New Roman" w:cs="Times New Roman"/>
          <w:sz w:val="24"/>
          <w:szCs w:val="24"/>
        </w:rPr>
        <w:t xml:space="preserve"> оценявам изключително позитивно следните постижения:</w:t>
      </w:r>
    </w:p>
    <w:p w:rsidR="002361A3" w:rsidRPr="00AA50B2" w:rsidRDefault="000566E8" w:rsidP="00AA50B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0B2">
        <w:rPr>
          <w:rFonts w:ascii="Times New Roman" w:eastAsia="Calibri" w:hAnsi="Times New Roman" w:cs="Times New Roman"/>
          <w:b/>
          <w:i/>
          <w:sz w:val="24"/>
          <w:szCs w:val="24"/>
        </w:rPr>
        <w:t>Ф</w:t>
      </w:r>
      <w:r w:rsidR="004727A5" w:rsidRPr="00AA50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ормулировки в три </w:t>
      </w:r>
      <w:proofErr w:type="spellStart"/>
      <w:r w:rsidR="004727A5" w:rsidRPr="00AA50B2">
        <w:rPr>
          <w:rFonts w:ascii="Times New Roman" w:eastAsia="Calibri" w:hAnsi="Times New Roman" w:cs="Times New Roman"/>
          <w:b/>
          <w:i/>
          <w:sz w:val="24"/>
          <w:szCs w:val="24"/>
        </w:rPr>
        <w:t>взаимносвързани</w:t>
      </w:r>
      <w:proofErr w:type="spellEnd"/>
      <w:r w:rsidR="004727A5" w:rsidRPr="00AA50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хипотези</w:t>
      </w:r>
      <w:r w:rsidR="004727A5" w:rsidRPr="00AA50B2">
        <w:rPr>
          <w:rFonts w:ascii="Times New Roman" w:eastAsia="Calibri" w:hAnsi="Times New Roman" w:cs="Times New Roman"/>
          <w:sz w:val="24"/>
          <w:szCs w:val="24"/>
        </w:rPr>
        <w:t xml:space="preserve">, отнесени като предположения към  връзката между „детска градина-училище-семейство“, при извеждането на </w:t>
      </w:r>
      <w:proofErr w:type="spellStart"/>
      <w:r w:rsidR="004727A5" w:rsidRPr="00AA50B2">
        <w:rPr>
          <w:rFonts w:ascii="Times New Roman" w:eastAsia="Calibri" w:hAnsi="Times New Roman" w:cs="Times New Roman"/>
          <w:sz w:val="24"/>
          <w:szCs w:val="24"/>
        </w:rPr>
        <w:t>субуктните</w:t>
      </w:r>
      <w:proofErr w:type="spellEnd"/>
      <w:r w:rsidR="004727A5" w:rsidRPr="00AA50B2">
        <w:rPr>
          <w:rFonts w:ascii="Times New Roman" w:eastAsia="Calibri" w:hAnsi="Times New Roman" w:cs="Times New Roman"/>
          <w:sz w:val="24"/>
          <w:szCs w:val="24"/>
        </w:rPr>
        <w:t xml:space="preserve"> отношения „родители-деца/ученици-учители“, които са </w:t>
      </w:r>
      <w:r w:rsidR="004727A5" w:rsidRPr="00E76584">
        <w:rPr>
          <w:rFonts w:ascii="Times New Roman" w:eastAsia="Calibri" w:hAnsi="Times New Roman" w:cs="Times New Roman"/>
          <w:b/>
          <w:i/>
          <w:sz w:val="24"/>
          <w:szCs w:val="24"/>
        </w:rPr>
        <w:t>оригинално формулирани и недоказани досега</w:t>
      </w:r>
      <w:r w:rsidR="004727A5" w:rsidRPr="00AA50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50B2">
        <w:rPr>
          <w:rFonts w:ascii="Times New Roman" w:eastAsia="Calibri" w:hAnsi="Times New Roman" w:cs="Times New Roman"/>
          <w:sz w:val="24"/>
          <w:szCs w:val="24"/>
        </w:rPr>
        <w:t>относно положителното</w:t>
      </w:r>
      <w:r w:rsidR="00E765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50B2">
        <w:rPr>
          <w:rFonts w:ascii="Times New Roman" w:eastAsia="Calibri" w:hAnsi="Times New Roman" w:cs="Times New Roman"/>
          <w:sz w:val="24"/>
          <w:szCs w:val="24"/>
        </w:rPr>
        <w:t>влияние на експерименталния модел върху социалните компетенции</w:t>
      </w:r>
      <w:r w:rsidR="00E76584">
        <w:rPr>
          <w:rFonts w:ascii="Times New Roman" w:eastAsia="Calibri" w:hAnsi="Times New Roman" w:cs="Times New Roman"/>
          <w:sz w:val="24"/>
          <w:szCs w:val="24"/>
        </w:rPr>
        <w:t>. То се доказва в изследователск</w:t>
      </w:r>
      <w:r w:rsidRPr="00AA50B2">
        <w:rPr>
          <w:rFonts w:ascii="Times New Roman" w:eastAsia="Calibri" w:hAnsi="Times New Roman" w:cs="Times New Roman"/>
          <w:sz w:val="24"/>
          <w:szCs w:val="24"/>
        </w:rPr>
        <w:t>о очертани етапи по посока на логически произтичащите от хипотезата задачи при организационно зададен контингент деца в двете възрастови подгрупи на 4 – 6-годишни и 7 – 8- годишни деца</w:t>
      </w:r>
    </w:p>
    <w:p w:rsidR="00E56E74" w:rsidRPr="00AA50B2" w:rsidRDefault="000566E8" w:rsidP="00AA50B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0B2">
        <w:rPr>
          <w:rFonts w:ascii="Times New Roman" w:eastAsia="Calibri" w:hAnsi="Times New Roman" w:cs="Times New Roman"/>
          <w:sz w:val="24"/>
          <w:szCs w:val="24"/>
        </w:rPr>
        <w:t>Изследването на</w:t>
      </w:r>
      <w:r w:rsidR="00E56E74" w:rsidRPr="00AA50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6E74" w:rsidRPr="00AA50B2">
        <w:rPr>
          <w:rFonts w:ascii="Times New Roman" w:eastAsia="Calibri" w:hAnsi="Times New Roman" w:cs="Times New Roman"/>
          <w:b/>
          <w:i/>
          <w:sz w:val="24"/>
          <w:szCs w:val="24"/>
        </w:rPr>
        <w:t>р</w:t>
      </w:r>
      <w:r w:rsidRPr="00AA50B2">
        <w:rPr>
          <w:rFonts w:ascii="Times New Roman" w:eastAsia="Calibri" w:hAnsi="Times New Roman" w:cs="Times New Roman"/>
          <w:b/>
          <w:i/>
          <w:sz w:val="24"/>
          <w:szCs w:val="24"/>
        </w:rPr>
        <w:t>азлични области на прояви</w:t>
      </w:r>
      <w:r w:rsidRPr="00AA50B2">
        <w:rPr>
          <w:rFonts w:ascii="Times New Roman" w:eastAsia="Calibri" w:hAnsi="Times New Roman" w:cs="Times New Roman"/>
          <w:sz w:val="24"/>
          <w:szCs w:val="24"/>
        </w:rPr>
        <w:t xml:space="preserve"> на децата/учениците - </w:t>
      </w:r>
      <w:r w:rsidR="00E56E74" w:rsidRPr="00AA50B2">
        <w:rPr>
          <w:rFonts w:ascii="Times New Roman" w:eastAsia="Calibri" w:hAnsi="Times New Roman" w:cs="Times New Roman"/>
          <w:sz w:val="24"/>
          <w:szCs w:val="24"/>
        </w:rPr>
        <w:t>емоционално изразяване, саморегулиране, справяне с нови ситуации и предизвикателства, поведен</w:t>
      </w:r>
      <w:r w:rsidRPr="00AA50B2">
        <w:rPr>
          <w:rFonts w:ascii="Times New Roman" w:eastAsia="Calibri" w:hAnsi="Times New Roman" w:cs="Times New Roman"/>
          <w:sz w:val="24"/>
          <w:szCs w:val="24"/>
        </w:rPr>
        <w:t>ие</w:t>
      </w:r>
      <w:r w:rsidR="00E56E74" w:rsidRPr="00AA50B2">
        <w:rPr>
          <w:rFonts w:ascii="Times New Roman" w:eastAsia="Calibri" w:hAnsi="Times New Roman" w:cs="Times New Roman"/>
          <w:sz w:val="24"/>
          <w:szCs w:val="24"/>
        </w:rPr>
        <w:t xml:space="preserve"> по време на </w:t>
      </w:r>
      <w:r w:rsidRPr="00AA50B2">
        <w:rPr>
          <w:rFonts w:ascii="Times New Roman" w:eastAsia="Calibri" w:hAnsi="Times New Roman" w:cs="Times New Roman"/>
          <w:sz w:val="24"/>
          <w:szCs w:val="24"/>
        </w:rPr>
        <w:t>игра</w:t>
      </w:r>
      <w:r w:rsidR="00E56E74" w:rsidRPr="00AA50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50B2">
        <w:rPr>
          <w:rFonts w:ascii="Times New Roman" w:eastAsia="Calibri" w:hAnsi="Times New Roman" w:cs="Times New Roman"/>
          <w:sz w:val="24"/>
          <w:szCs w:val="24"/>
        </w:rPr>
        <w:t xml:space="preserve">т.е. проучването на социалната компетентност не </w:t>
      </w:r>
      <w:r w:rsidR="00E56E74" w:rsidRPr="00AA50B2">
        <w:rPr>
          <w:rFonts w:ascii="Times New Roman" w:eastAsia="Calibri" w:hAnsi="Times New Roman" w:cs="Times New Roman"/>
          <w:sz w:val="24"/>
          <w:szCs w:val="24"/>
        </w:rPr>
        <w:t>се фокусира само върху</w:t>
      </w:r>
      <w:r w:rsidRPr="00AA50B2">
        <w:rPr>
          <w:rFonts w:ascii="Times New Roman" w:eastAsia="Calibri" w:hAnsi="Times New Roman" w:cs="Times New Roman"/>
          <w:sz w:val="24"/>
          <w:szCs w:val="24"/>
        </w:rPr>
        <w:t xml:space="preserve"> когнитивното развитие при използването на </w:t>
      </w:r>
      <w:r w:rsidRPr="00AA50B2">
        <w:rPr>
          <w:rFonts w:ascii="Times New Roman" w:eastAsia="Calibri" w:hAnsi="Times New Roman" w:cs="Times New Roman"/>
          <w:b/>
          <w:i/>
          <w:sz w:val="24"/>
          <w:szCs w:val="24"/>
        </w:rPr>
        <w:t>адаптирани авторски процедури</w:t>
      </w:r>
      <w:r w:rsidRPr="00AA50B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E56E74" w:rsidRPr="00AA50B2">
        <w:rPr>
          <w:rFonts w:ascii="Times New Roman" w:eastAsia="Calibri" w:hAnsi="Times New Roman" w:cs="Times New Roman"/>
          <w:sz w:val="24"/>
          <w:szCs w:val="24"/>
        </w:rPr>
        <w:t>Gagnon</w:t>
      </w:r>
      <w:proofErr w:type="spellEnd"/>
      <w:r w:rsidR="00E56E74" w:rsidRPr="00AA50B2">
        <w:rPr>
          <w:rFonts w:ascii="Times New Roman" w:eastAsia="Calibri" w:hAnsi="Times New Roman" w:cs="Times New Roman"/>
          <w:sz w:val="24"/>
          <w:szCs w:val="24"/>
        </w:rPr>
        <w:t xml:space="preserve"> &amp; </w:t>
      </w:r>
      <w:proofErr w:type="spellStart"/>
      <w:r w:rsidR="00E56E74" w:rsidRPr="00AA50B2">
        <w:rPr>
          <w:rFonts w:ascii="Times New Roman" w:eastAsia="Calibri" w:hAnsi="Times New Roman" w:cs="Times New Roman"/>
          <w:sz w:val="24"/>
          <w:szCs w:val="24"/>
        </w:rPr>
        <w:t>Nagle</w:t>
      </w:r>
      <w:proofErr w:type="spellEnd"/>
      <w:r w:rsidR="00E56E74" w:rsidRPr="00AA50B2">
        <w:rPr>
          <w:rFonts w:ascii="Times New Roman" w:eastAsia="Calibri" w:hAnsi="Times New Roman" w:cs="Times New Roman"/>
          <w:sz w:val="24"/>
          <w:szCs w:val="24"/>
        </w:rPr>
        <w:t>, 2004).</w:t>
      </w:r>
    </w:p>
    <w:p w:rsidR="000566E8" w:rsidRPr="00AA50B2" w:rsidRDefault="000566E8" w:rsidP="00AA50B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0B2">
        <w:rPr>
          <w:rFonts w:ascii="Times New Roman" w:eastAsia="Calibri" w:hAnsi="Times New Roman" w:cs="Times New Roman"/>
          <w:sz w:val="24"/>
          <w:szCs w:val="24"/>
        </w:rPr>
        <w:t xml:space="preserve">Връзката на установените резултати за прояви на специфично социално поведение с </w:t>
      </w:r>
      <w:r w:rsidRPr="00AA50B2">
        <w:rPr>
          <w:rFonts w:ascii="Times New Roman" w:eastAsia="Calibri" w:hAnsi="Times New Roman" w:cs="Times New Roman"/>
          <w:b/>
          <w:i/>
          <w:sz w:val="24"/>
          <w:szCs w:val="24"/>
        </w:rPr>
        <w:t>постигането на положителни социални прояви</w:t>
      </w:r>
      <w:r w:rsidRPr="00AA50B2">
        <w:rPr>
          <w:rFonts w:ascii="Times New Roman" w:eastAsia="Calibri" w:hAnsi="Times New Roman" w:cs="Times New Roman"/>
          <w:sz w:val="24"/>
          <w:szCs w:val="24"/>
        </w:rPr>
        <w:t xml:space="preserve"> като общо описание на социалната компетентност на деца/ученици въпреки нееднозначните дефиниции на социалната компетентност (</w:t>
      </w:r>
      <w:proofErr w:type="spellStart"/>
      <w:r w:rsidRPr="00AA50B2">
        <w:rPr>
          <w:rFonts w:ascii="Times New Roman" w:eastAsia="Calibri" w:hAnsi="Times New Roman" w:cs="Times New Roman"/>
          <w:sz w:val="24"/>
          <w:szCs w:val="24"/>
        </w:rPr>
        <w:t>Merrell</w:t>
      </w:r>
      <w:proofErr w:type="spellEnd"/>
      <w:r w:rsidRPr="00AA50B2">
        <w:rPr>
          <w:rFonts w:ascii="Times New Roman" w:eastAsia="Calibri" w:hAnsi="Times New Roman" w:cs="Times New Roman"/>
          <w:sz w:val="24"/>
          <w:szCs w:val="24"/>
        </w:rPr>
        <w:t xml:space="preserve">, 1995, 1999; </w:t>
      </w:r>
      <w:proofErr w:type="spellStart"/>
      <w:r w:rsidRPr="00AA50B2">
        <w:rPr>
          <w:rFonts w:ascii="Times New Roman" w:eastAsia="Calibri" w:hAnsi="Times New Roman" w:cs="Times New Roman"/>
          <w:sz w:val="24"/>
          <w:szCs w:val="24"/>
        </w:rPr>
        <w:t>Merrell</w:t>
      </w:r>
      <w:proofErr w:type="spellEnd"/>
      <w:r w:rsidRPr="00AA50B2">
        <w:rPr>
          <w:rFonts w:ascii="Times New Roman" w:eastAsia="Calibri" w:hAnsi="Times New Roman" w:cs="Times New Roman"/>
          <w:sz w:val="24"/>
          <w:szCs w:val="24"/>
        </w:rPr>
        <w:t xml:space="preserve"> &amp; </w:t>
      </w:r>
      <w:proofErr w:type="spellStart"/>
      <w:r w:rsidRPr="00AA50B2">
        <w:rPr>
          <w:rFonts w:ascii="Times New Roman" w:eastAsia="Calibri" w:hAnsi="Times New Roman" w:cs="Times New Roman"/>
          <w:sz w:val="24"/>
          <w:szCs w:val="24"/>
        </w:rPr>
        <w:t>Wolfe</w:t>
      </w:r>
      <w:proofErr w:type="spellEnd"/>
      <w:r w:rsidRPr="00AA50B2">
        <w:rPr>
          <w:rFonts w:ascii="Times New Roman" w:eastAsia="Calibri" w:hAnsi="Times New Roman" w:cs="Times New Roman"/>
          <w:sz w:val="24"/>
          <w:szCs w:val="24"/>
        </w:rPr>
        <w:t>, 1998, цитирано от Lee, 2006, p. 6).</w:t>
      </w:r>
    </w:p>
    <w:p w:rsidR="00E20616" w:rsidRPr="00AA50B2" w:rsidRDefault="000566E8" w:rsidP="00AA50B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0B2">
        <w:rPr>
          <w:rFonts w:ascii="Times New Roman" w:eastAsia="Calibri" w:hAnsi="Times New Roman" w:cs="Times New Roman"/>
          <w:sz w:val="24"/>
          <w:szCs w:val="24"/>
        </w:rPr>
        <w:t xml:space="preserve">Впечатлението и </w:t>
      </w:r>
      <w:r w:rsidRPr="00AA50B2">
        <w:rPr>
          <w:rFonts w:ascii="Times New Roman" w:eastAsia="Calibri" w:hAnsi="Times New Roman" w:cs="Times New Roman"/>
          <w:b/>
          <w:i/>
          <w:sz w:val="24"/>
          <w:szCs w:val="24"/>
        </w:rPr>
        <w:t>прецизното използване на авторска конкретизация</w:t>
      </w:r>
      <w:r w:rsidRPr="00AA50B2">
        <w:rPr>
          <w:rFonts w:ascii="Times New Roman" w:eastAsia="Calibri" w:hAnsi="Times New Roman" w:cs="Times New Roman"/>
          <w:sz w:val="24"/>
          <w:szCs w:val="24"/>
        </w:rPr>
        <w:t xml:space="preserve"> в областта на социалните прояви, установени по време на експерименталното изследване. Позоваването върху европейска</w:t>
      </w:r>
      <w:r w:rsidR="00E76584">
        <w:rPr>
          <w:rFonts w:ascii="Times New Roman" w:eastAsia="Calibri" w:hAnsi="Times New Roman" w:cs="Times New Roman"/>
          <w:sz w:val="24"/>
          <w:szCs w:val="24"/>
        </w:rPr>
        <w:t xml:space="preserve">та референтна рамка във връзка </w:t>
      </w:r>
      <w:r w:rsidRPr="00AA50B2">
        <w:rPr>
          <w:rFonts w:ascii="Times New Roman" w:eastAsia="Calibri" w:hAnsi="Times New Roman" w:cs="Times New Roman"/>
          <w:sz w:val="24"/>
          <w:szCs w:val="24"/>
        </w:rPr>
        <w:t>с диференцирането на културните от социалните компетентности, въпреки връзката между тях, като се отчита периодът на социално присъствие на децата учениците в културната общност</w:t>
      </w:r>
      <w:r w:rsidR="00E76584">
        <w:rPr>
          <w:rFonts w:ascii="Times New Roman" w:eastAsia="Calibri" w:hAnsi="Times New Roman" w:cs="Times New Roman"/>
          <w:sz w:val="24"/>
          <w:szCs w:val="24"/>
        </w:rPr>
        <w:t xml:space="preserve"> и неговата специфика</w:t>
      </w:r>
      <w:r w:rsidRPr="00AA50B2">
        <w:rPr>
          <w:rFonts w:ascii="Times New Roman" w:eastAsia="Calibri" w:hAnsi="Times New Roman" w:cs="Times New Roman"/>
          <w:sz w:val="24"/>
          <w:szCs w:val="24"/>
        </w:rPr>
        <w:t>, като акцентът се поставя върху нея, а не върху изследването на интеркултурните раз</w:t>
      </w:r>
      <w:r w:rsidR="004727A5" w:rsidRPr="00AA50B2">
        <w:rPr>
          <w:rFonts w:ascii="Times New Roman" w:eastAsia="Calibri" w:hAnsi="Times New Roman" w:cs="Times New Roman"/>
          <w:sz w:val="24"/>
          <w:szCs w:val="24"/>
        </w:rPr>
        <w:t>личия в контекста на социалните и граждански компетенции.</w:t>
      </w:r>
      <w:r w:rsidR="002165A6" w:rsidRPr="00AA50B2">
        <w:rPr>
          <w:rFonts w:ascii="Times New Roman" w:eastAsia="Calibri" w:hAnsi="Times New Roman" w:cs="Times New Roman"/>
          <w:sz w:val="24"/>
          <w:szCs w:val="24"/>
        </w:rPr>
        <w:t xml:space="preserve"> Адмирации заслужават </w:t>
      </w:r>
      <w:r w:rsidR="002165A6" w:rsidRPr="00AA50B2">
        <w:rPr>
          <w:rFonts w:ascii="Times New Roman" w:eastAsia="Calibri" w:hAnsi="Times New Roman" w:cs="Times New Roman"/>
          <w:b/>
          <w:i/>
          <w:sz w:val="24"/>
          <w:szCs w:val="24"/>
        </w:rPr>
        <w:t>големият обхват на проучените експериментални лица</w:t>
      </w:r>
      <w:r w:rsidR="002165A6" w:rsidRPr="00AA50B2">
        <w:rPr>
          <w:rFonts w:ascii="Times New Roman" w:eastAsia="Calibri" w:hAnsi="Times New Roman" w:cs="Times New Roman"/>
          <w:sz w:val="24"/>
          <w:szCs w:val="24"/>
        </w:rPr>
        <w:t xml:space="preserve"> (общо 1282), в най-голяма численост на първия етап (979), а при апробирането на модела във втори и трети етап (303), както и коректното представяне на отделните етапи.</w:t>
      </w:r>
    </w:p>
    <w:p w:rsidR="00E20616" w:rsidRPr="00AA50B2" w:rsidRDefault="00E20616" w:rsidP="00AA50B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0B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Оригинален авторски модел, основан на компетенции</w:t>
      </w:r>
      <w:r w:rsidRPr="00AA50B2">
        <w:rPr>
          <w:rFonts w:ascii="Times New Roman" w:eastAsia="Calibri" w:hAnsi="Times New Roman" w:cs="Times New Roman"/>
          <w:sz w:val="24"/>
          <w:szCs w:val="24"/>
        </w:rPr>
        <w:t>, очертани като водещи в ЕКР –</w:t>
      </w:r>
      <w:r w:rsidR="00E57C9C" w:rsidRPr="00AA50B2">
        <w:rPr>
          <w:rFonts w:ascii="Times New Roman" w:eastAsia="Calibri" w:hAnsi="Times New Roman" w:cs="Times New Roman"/>
          <w:sz w:val="24"/>
          <w:szCs w:val="24"/>
        </w:rPr>
        <w:t xml:space="preserve">прояви на </w:t>
      </w:r>
      <w:r w:rsidRPr="00AA50B2">
        <w:rPr>
          <w:rFonts w:ascii="Times New Roman" w:eastAsia="Calibri" w:hAnsi="Times New Roman" w:cs="Times New Roman"/>
          <w:sz w:val="24"/>
          <w:szCs w:val="24"/>
        </w:rPr>
        <w:t xml:space="preserve">самоконтрол, съпричастност и вербална комуникация за тези възрастови етапи. </w:t>
      </w:r>
    </w:p>
    <w:p w:rsidR="000566E8" w:rsidRPr="00AA50B2" w:rsidRDefault="00E20616" w:rsidP="00AA50B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0B2">
        <w:rPr>
          <w:rFonts w:ascii="Times New Roman" w:eastAsia="Calibri" w:hAnsi="Times New Roman" w:cs="Times New Roman"/>
          <w:sz w:val="24"/>
          <w:szCs w:val="24"/>
        </w:rPr>
        <w:t xml:space="preserve">Процесуално ориентирани към социалната компетентност </w:t>
      </w:r>
      <w:r w:rsidR="004F7E84">
        <w:rPr>
          <w:rFonts w:ascii="Times New Roman" w:eastAsia="Calibri" w:hAnsi="Times New Roman" w:cs="Times New Roman"/>
          <w:sz w:val="24"/>
          <w:szCs w:val="24"/>
        </w:rPr>
        <w:t xml:space="preserve">са </w:t>
      </w:r>
      <w:r w:rsidR="008B4442" w:rsidRPr="00AA50B2">
        <w:rPr>
          <w:rFonts w:ascii="Times New Roman" w:eastAsia="Calibri" w:hAnsi="Times New Roman" w:cs="Times New Roman"/>
          <w:sz w:val="24"/>
          <w:szCs w:val="24"/>
        </w:rPr>
        <w:t xml:space="preserve">представени в глава трета </w:t>
      </w:r>
      <w:r w:rsidRPr="00AA50B2">
        <w:rPr>
          <w:rFonts w:ascii="Times New Roman" w:eastAsia="Calibri" w:hAnsi="Times New Roman" w:cs="Times New Roman"/>
          <w:b/>
          <w:i/>
          <w:sz w:val="24"/>
          <w:szCs w:val="24"/>
        </w:rPr>
        <w:t>серии от игрови технологии</w:t>
      </w:r>
      <w:r w:rsidR="008B4442" w:rsidRPr="00AA50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52C" w:rsidRPr="00AA50B2">
        <w:rPr>
          <w:rFonts w:ascii="Times New Roman" w:eastAsia="Calibri" w:hAnsi="Times New Roman" w:cs="Times New Roman"/>
          <w:b/>
          <w:i/>
          <w:sz w:val="24"/>
          <w:szCs w:val="24"/>
        </w:rPr>
        <w:t>в апробирания формиращ експеримент</w:t>
      </w:r>
      <w:r w:rsidR="0032152C" w:rsidRPr="00AA50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442" w:rsidRPr="00AA50B2">
        <w:rPr>
          <w:rFonts w:ascii="Times New Roman" w:eastAsia="Calibri" w:hAnsi="Times New Roman" w:cs="Times New Roman"/>
          <w:sz w:val="24"/>
          <w:szCs w:val="24"/>
        </w:rPr>
        <w:t>(за преговори, за управляване на диалог, за решаване на проблеми и управляване на конфликти, за преодоляването на агресията, за конкуренция и сътрудничество, за регулиране и саморегулиране на поведението и за балансиране на преживяванията)</w:t>
      </w:r>
      <w:r w:rsidR="004F7E84">
        <w:rPr>
          <w:rFonts w:ascii="Times New Roman" w:eastAsia="Calibri" w:hAnsi="Times New Roman" w:cs="Times New Roman"/>
          <w:sz w:val="24"/>
          <w:szCs w:val="24"/>
        </w:rPr>
        <w:t xml:space="preserve">. Те са </w:t>
      </w:r>
      <w:r w:rsidR="00E57C9C" w:rsidRPr="00AA50B2">
        <w:rPr>
          <w:rFonts w:ascii="Times New Roman" w:eastAsia="Calibri" w:hAnsi="Times New Roman" w:cs="Times New Roman"/>
          <w:sz w:val="24"/>
          <w:szCs w:val="24"/>
        </w:rPr>
        <w:t xml:space="preserve">обединени </w:t>
      </w:r>
      <w:r w:rsidR="00E57C9C" w:rsidRPr="00AA50B2">
        <w:rPr>
          <w:rFonts w:ascii="Times New Roman" w:eastAsia="Calibri" w:hAnsi="Times New Roman" w:cs="Times New Roman"/>
          <w:b/>
          <w:i/>
          <w:sz w:val="24"/>
          <w:szCs w:val="24"/>
        </w:rPr>
        <w:t>тематично в седем модула</w:t>
      </w:r>
      <w:r w:rsidR="004F7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7C9C" w:rsidRPr="00AA50B2">
        <w:rPr>
          <w:rFonts w:ascii="Times New Roman" w:eastAsia="Calibri" w:hAnsi="Times New Roman" w:cs="Times New Roman"/>
          <w:sz w:val="24"/>
          <w:szCs w:val="24"/>
        </w:rPr>
        <w:t>при отчитането на отношението „игра-дейности“</w:t>
      </w:r>
      <w:r w:rsidRPr="00AA50B2">
        <w:rPr>
          <w:rFonts w:ascii="Times New Roman" w:eastAsia="Calibri" w:hAnsi="Times New Roman" w:cs="Times New Roman"/>
          <w:sz w:val="24"/>
          <w:szCs w:val="24"/>
        </w:rPr>
        <w:t xml:space="preserve"> със специфика на приложение в двата възрастови етапа</w:t>
      </w:r>
      <w:r w:rsidR="00E57C9C" w:rsidRPr="00AA50B2">
        <w:rPr>
          <w:rFonts w:ascii="Times New Roman" w:eastAsia="Calibri" w:hAnsi="Times New Roman" w:cs="Times New Roman"/>
          <w:sz w:val="24"/>
          <w:szCs w:val="24"/>
        </w:rPr>
        <w:t xml:space="preserve"> на комплексните детски съдържателни дейности, които се изразяват динамично и съдържателно в детската игра, присъщи за личностното развитие на подрастващите в двата възрастови етапа.</w:t>
      </w:r>
      <w:r w:rsidR="008B4442" w:rsidRPr="00AA50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50B2" w:rsidRDefault="00AA50B2" w:rsidP="00AA50B2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4EBD">
        <w:rPr>
          <w:rFonts w:ascii="Times New Roman" w:eastAsia="Calibri" w:hAnsi="Times New Roman" w:cs="Times New Roman"/>
          <w:b/>
          <w:sz w:val="24"/>
          <w:szCs w:val="24"/>
        </w:rPr>
        <w:t>Анализ и доказване на резултатите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приложението на експерименталния модел:</w:t>
      </w:r>
    </w:p>
    <w:p w:rsidR="00AA50B2" w:rsidRDefault="00AA50B2" w:rsidP="00AA50B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Целесъобразно използвани и</w:t>
      </w:r>
      <w:r w:rsidR="004727A5" w:rsidRPr="00AA50B2">
        <w:rPr>
          <w:rFonts w:ascii="Times New Roman" w:eastAsia="Calibri" w:hAnsi="Times New Roman" w:cs="Times New Roman"/>
          <w:sz w:val="24"/>
          <w:szCs w:val="24"/>
        </w:rPr>
        <w:t xml:space="preserve">нструменти за </w:t>
      </w:r>
      <w:r w:rsidR="004727A5" w:rsidRPr="00AA50B2">
        <w:rPr>
          <w:rFonts w:ascii="Times New Roman" w:eastAsia="Calibri" w:hAnsi="Times New Roman" w:cs="Times New Roman"/>
          <w:b/>
          <w:i/>
          <w:sz w:val="24"/>
          <w:szCs w:val="24"/>
        </w:rPr>
        <w:t>статистическа проверка и доказване на значимостта</w:t>
      </w:r>
      <w:r w:rsidR="004727A5" w:rsidRPr="00AA50B2">
        <w:rPr>
          <w:rFonts w:ascii="Times New Roman" w:eastAsia="Calibri" w:hAnsi="Times New Roman" w:cs="Times New Roman"/>
          <w:sz w:val="24"/>
          <w:szCs w:val="24"/>
        </w:rPr>
        <w:t xml:space="preserve"> на данните,  обработени с помощта на анализ на множествена логистична регресия, представени в </w:t>
      </w:r>
      <w:r w:rsidR="002165A6" w:rsidRPr="00AA50B2">
        <w:rPr>
          <w:rFonts w:ascii="Times New Roman" w:eastAsia="Calibri" w:hAnsi="Times New Roman" w:cs="Times New Roman"/>
          <w:sz w:val="24"/>
          <w:szCs w:val="24"/>
        </w:rPr>
        <w:t xml:space="preserve">таблици и </w:t>
      </w:r>
      <w:r w:rsidR="004727A5" w:rsidRPr="00AA50B2">
        <w:rPr>
          <w:rFonts w:ascii="Times New Roman" w:eastAsia="Calibri" w:hAnsi="Times New Roman" w:cs="Times New Roman"/>
          <w:sz w:val="24"/>
          <w:szCs w:val="24"/>
        </w:rPr>
        <w:t xml:space="preserve">диаграми, придружен от </w:t>
      </w:r>
      <w:r w:rsidR="002165A6" w:rsidRPr="00AA50B2">
        <w:rPr>
          <w:rFonts w:ascii="Times New Roman" w:eastAsia="Calibri" w:hAnsi="Times New Roman" w:cs="Times New Roman"/>
          <w:sz w:val="24"/>
          <w:szCs w:val="24"/>
        </w:rPr>
        <w:t xml:space="preserve">обективен и прецизен </w:t>
      </w:r>
      <w:r w:rsidR="004727A5" w:rsidRPr="00AA50B2">
        <w:rPr>
          <w:rFonts w:ascii="Times New Roman" w:eastAsia="Calibri" w:hAnsi="Times New Roman" w:cs="Times New Roman"/>
          <w:sz w:val="24"/>
          <w:szCs w:val="24"/>
        </w:rPr>
        <w:t>количествен и качествен анализ</w:t>
      </w:r>
      <w:r w:rsidR="002165A6" w:rsidRPr="00AA50B2">
        <w:rPr>
          <w:rFonts w:ascii="Times New Roman" w:eastAsia="Calibri" w:hAnsi="Times New Roman" w:cs="Times New Roman"/>
          <w:sz w:val="24"/>
          <w:szCs w:val="24"/>
        </w:rPr>
        <w:t xml:space="preserve"> на докторанта</w:t>
      </w:r>
      <w:r w:rsidR="004727A5" w:rsidRPr="00AA50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4442" w:rsidRPr="00AA50B2" w:rsidRDefault="008B4442" w:rsidP="00AA50B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0B2">
        <w:rPr>
          <w:rFonts w:ascii="Times New Roman" w:eastAsia="Calibri" w:hAnsi="Times New Roman" w:cs="Times New Roman"/>
          <w:sz w:val="24"/>
          <w:szCs w:val="24"/>
        </w:rPr>
        <w:t>А</w:t>
      </w:r>
      <w:r w:rsidRPr="00AA50B2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нализ на резултатите в излагането на същността на изследването потвърждавам</w:t>
      </w:r>
      <w:r w:rsidR="0032152C" w:rsidRPr="00AA50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оценявам изключително високо </w:t>
      </w:r>
      <w:r w:rsidR="0032152C" w:rsidRPr="00AA50B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професионалната компетентност на Х. </w:t>
      </w:r>
      <w:proofErr w:type="spellStart"/>
      <w:r w:rsidR="0032152C" w:rsidRPr="00AA50B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Папазиси</w:t>
      </w:r>
      <w:proofErr w:type="spellEnd"/>
      <w:r w:rsidR="0032152C" w:rsidRPr="00AA50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обобщава и оценява компетентно постиженията, представени в диаграми и характеризирани по етапи и във връзка с всеки един критерий  и показател в количествено и в качествено отношение. Това тя прави и отнесено до същността на модела от игрови модулни технологии, което е не просто регистриран</w:t>
      </w:r>
      <w:r w:rsidR="004F7E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важна статистическа обработка </w:t>
      </w:r>
      <w:r w:rsidRPr="00AA50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получените </w:t>
      </w:r>
      <w:r w:rsidR="0032152C" w:rsidRPr="00AA50B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резултати</w:t>
      </w:r>
      <w:r w:rsidRPr="00AA50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2152C" w:rsidRPr="00AA50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 w:rsidR="0032152C" w:rsidRPr="00AA50B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убедително доказателство  за достоверно и </w:t>
      </w:r>
      <w:r w:rsidRPr="00AA50B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обекти</w:t>
      </w:r>
      <w:r w:rsidR="0032152C" w:rsidRPr="00AA50B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вно обобщаване на </w:t>
      </w:r>
      <w:r w:rsidRPr="00AA50B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резултатите</w:t>
      </w:r>
      <w:r w:rsidR="0032152C" w:rsidRPr="00AA50B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от оригиналното изследване</w:t>
      </w:r>
      <w:r w:rsidR="0032152C" w:rsidRPr="00AA50B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2152C" w:rsidRDefault="0032152C" w:rsidP="008B44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152C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2152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15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Заключение и изводи</w:t>
      </w:r>
      <w:r w:rsidR="00AA50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докторския труд</w:t>
      </w:r>
    </w:p>
    <w:p w:rsidR="00AA50B2" w:rsidRPr="00AA50B2" w:rsidRDefault="00AA50B2" w:rsidP="00AA50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50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Оценявам ги като </w:t>
      </w:r>
      <w:r w:rsidRPr="00AA50B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значими и съответстващи на целта, хипотезата и задачите</w:t>
      </w:r>
      <w:r w:rsidRPr="00AA50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Докторантката убедително демонстрира способности да изведе обобщено резултатите, да ги </w:t>
      </w:r>
      <w:proofErr w:type="spellStart"/>
      <w:r w:rsidRPr="00AA50B2">
        <w:rPr>
          <w:rFonts w:ascii="Times New Roman" w:eastAsia="Times New Roman" w:hAnsi="Times New Roman" w:cs="Times New Roman"/>
          <w:sz w:val="24"/>
          <w:szCs w:val="24"/>
          <w:lang w:eastAsia="bg-BG"/>
        </w:rPr>
        <w:t>корелира</w:t>
      </w:r>
      <w:proofErr w:type="spellEnd"/>
      <w:r w:rsidRPr="00AA50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количествените и с качествените, очертани от приложението на интерактивния модел  тенденции в контролните и в експерименталните групи за съответните три етапа.</w:t>
      </w:r>
    </w:p>
    <w:p w:rsidR="008B4442" w:rsidRDefault="008B4442" w:rsidP="00AA50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50B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Моделът така става осигурен технологично като образовател</w:t>
      </w:r>
      <w:r w:rsidR="00AA50B2">
        <w:rPr>
          <w:rFonts w:ascii="Times New Roman" w:eastAsia="Times New Roman" w:hAnsi="Times New Roman" w:cs="Times New Roman"/>
          <w:sz w:val="24"/>
          <w:szCs w:val="24"/>
          <w:lang w:eastAsia="bg-BG"/>
        </w:rPr>
        <w:t>ен вариант  в етапите/институциите детска градина и начално училище и за ново, авторско</w:t>
      </w:r>
      <w:r w:rsidRPr="00AA50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присъствие на докторантката</w:t>
      </w:r>
      <w:r w:rsidR="00AA50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национален и в европейски план.</w:t>
      </w:r>
    </w:p>
    <w:p w:rsidR="00AA50B2" w:rsidRDefault="00AA50B2" w:rsidP="00AA50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50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Приемам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петте приноса</w:t>
      </w:r>
      <w:r w:rsidRPr="00AA50B2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изведени в резултат на педагогическия по своя харак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тер в областта на институционалното</w:t>
      </w:r>
      <w:r w:rsidRPr="00AA50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образование докторски труд. Ясно доминират тези, отнесени до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обновяването на </w:t>
      </w:r>
      <w:r w:rsid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педагогическите технологии, </w:t>
      </w:r>
      <w:r w:rsidRPr="00AA50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водещи до преодоляването на порочни практики при </w:t>
      </w:r>
      <w:r w:rsid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прехода детска градина-начално училище да се акцентира върху знанията , а не върху проявите на социално-адаптивно поведение, типично социалната </w:t>
      </w:r>
      <w:r w:rsidRPr="00AA50B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компетентност</w:t>
      </w:r>
      <w:r w:rsid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конкретната степен на проява на социалните компетенции на деца/ученици</w:t>
      </w:r>
      <w:r w:rsidRPr="00AA50B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135DA" w:rsidRDefault="000135DA" w:rsidP="00AA50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Моделът е ценен, както за работа по квалификацията на педагогическите специалисти, така и по разработването на конкретни програми за работа с родителите при прехода „детска градина- първи клас“.</w:t>
      </w:r>
    </w:p>
    <w:p w:rsidR="000135DA" w:rsidRPr="000135DA" w:rsidRDefault="000135DA" w:rsidP="000135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35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Качества на докторантката </w:t>
      </w:r>
    </w:p>
    <w:p w:rsidR="000135DA" w:rsidRPr="000135DA" w:rsidRDefault="000135DA" w:rsidP="000135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Доказателствата за качествата, нужни за кариерното развитие на редовния докторант произтичат от автобиографичната справка, приложена в документите, които са убедителен обективен отличен </w:t>
      </w:r>
      <w:proofErr w:type="spellStart"/>
      <w:r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>нейн</w:t>
      </w:r>
      <w:proofErr w:type="spellEnd"/>
      <w:r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атестат. Но като научен ръководител и член на научното жури имам още веднъж нормативно право и професионална отговорност за заявя преди заключението в становището си, че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Папазиси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Pr="000135D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млад изследовател и професионалист педагог, който ще има принос в утвърждаването на значението на игровите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моделни технологии за социалната компетентност</w:t>
      </w:r>
      <w:r w:rsidRPr="000135D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на </w:t>
      </w:r>
      <w:r w:rsidR="004F7E8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подрастващите в национален и в </w:t>
      </w:r>
      <w:r w:rsidRPr="000135D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европейски план. </w:t>
      </w:r>
    </w:p>
    <w:p w:rsidR="000135DA" w:rsidRPr="000135DA" w:rsidRDefault="000135DA" w:rsidP="000135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5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заключение</w:t>
      </w:r>
      <w:r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Като имам предвид всички спазени процедурни изисквания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представяне и оценяване на </w:t>
      </w:r>
      <w:r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качествата на дисертационния труд, изследователските умения на докторантката</w:t>
      </w:r>
      <w:r w:rsidR="004F7E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създаването и за </w:t>
      </w:r>
      <w:proofErr w:type="spellStart"/>
      <w:r w:rsidR="004F7E84">
        <w:rPr>
          <w:rFonts w:ascii="Times New Roman" w:eastAsia="Times New Roman" w:hAnsi="Times New Roman" w:cs="Times New Roman"/>
          <w:sz w:val="24"/>
          <w:szCs w:val="24"/>
          <w:lang w:eastAsia="bg-BG"/>
        </w:rPr>
        <w:t>апробиранто</w:t>
      </w:r>
      <w:proofErr w:type="spellEnd"/>
      <w:r w:rsidR="004F7E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собствен изследователски модел</w:t>
      </w:r>
      <w:r w:rsidR="00C54C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публикациите й,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убедително и статистически доказаните </w:t>
      </w:r>
      <w:r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>очертани приноси</w:t>
      </w:r>
      <w:r w:rsidR="004F7E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докторския труд</w:t>
      </w:r>
      <w:r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предлагам на уважаемото жури да присъди образователната и научна степен </w:t>
      </w:r>
      <w:r w:rsidR="00C54CC6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Доктор</w:t>
      </w:r>
      <w:r w:rsidR="00C54CC6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 професионално направление 1.2. Педагогика (Предучилищна педагогика)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Христина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Папазиси</w:t>
      </w:r>
      <w:proofErr w:type="spellEnd"/>
      <w:r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135DA" w:rsidRPr="000135DA" w:rsidRDefault="000135DA" w:rsidP="000135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35DA" w:rsidRPr="000135DA" w:rsidRDefault="000135DA" w:rsidP="000135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08.08.2019</w:t>
      </w:r>
      <w:r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Член на жури:……………….</w:t>
      </w:r>
    </w:p>
    <w:p w:rsidR="000135DA" w:rsidRPr="000135DA" w:rsidRDefault="000135DA" w:rsidP="000135D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>(проф.</w:t>
      </w:r>
      <w:r w:rsidR="00C54C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>д-р Весела Гюрова)</w:t>
      </w:r>
    </w:p>
    <w:sectPr w:rsidR="000135DA" w:rsidRPr="0001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86263"/>
    <w:multiLevelType w:val="multilevel"/>
    <w:tmpl w:val="B6EAAA7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2C1DF8"/>
    <w:multiLevelType w:val="hybridMultilevel"/>
    <w:tmpl w:val="B86EDB6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1877C11"/>
    <w:multiLevelType w:val="hybridMultilevel"/>
    <w:tmpl w:val="9C70DA2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D3DBF"/>
    <w:multiLevelType w:val="hybridMultilevel"/>
    <w:tmpl w:val="322E9E5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E2C3DF7"/>
    <w:multiLevelType w:val="hybridMultilevel"/>
    <w:tmpl w:val="7E5402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54"/>
    <w:rsid w:val="000135DA"/>
    <w:rsid w:val="000510B5"/>
    <w:rsid w:val="000566E8"/>
    <w:rsid w:val="002165A6"/>
    <w:rsid w:val="002361A3"/>
    <w:rsid w:val="0032152C"/>
    <w:rsid w:val="004727A5"/>
    <w:rsid w:val="004F7E84"/>
    <w:rsid w:val="00596C8D"/>
    <w:rsid w:val="00793654"/>
    <w:rsid w:val="00844EBD"/>
    <w:rsid w:val="008B4442"/>
    <w:rsid w:val="009217AA"/>
    <w:rsid w:val="00984EDB"/>
    <w:rsid w:val="00AA50B2"/>
    <w:rsid w:val="00C54CC6"/>
    <w:rsid w:val="00DC0F65"/>
    <w:rsid w:val="00DD02D0"/>
    <w:rsid w:val="00E13516"/>
    <w:rsid w:val="00E20616"/>
    <w:rsid w:val="00E56E74"/>
    <w:rsid w:val="00E57C9C"/>
    <w:rsid w:val="00E76584"/>
    <w:rsid w:val="00E94CAD"/>
    <w:rsid w:val="00F9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313B0-F12C-4465-B99F-4E04EB10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CA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4CA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4CAD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236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Vesela</dc:creator>
  <cp:keywords/>
  <dc:description/>
  <cp:lastModifiedBy>Vesela</cp:lastModifiedBy>
  <cp:revision>2</cp:revision>
  <dcterms:created xsi:type="dcterms:W3CDTF">2019-09-08T08:32:00Z</dcterms:created>
  <dcterms:modified xsi:type="dcterms:W3CDTF">2019-09-08T08:32:00Z</dcterms:modified>
</cp:coreProperties>
</file>