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49" w:rsidRPr="00A13FB8" w:rsidRDefault="00767349" w:rsidP="00767349">
      <w:pPr>
        <w:pStyle w:val="Heading3"/>
        <w:numPr>
          <w:ilvl w:val="0"/>
          <w:numId w:val="1"/>
        </w:numPr>
        <w:tabs>
          <w:tab w:val="left" w:pos="289"/>
        </w:tabs>
        <w:kinsoku w:val="0"/>
        <w:overflowPunct w:val="0"/>
        <w:ind w:left="289" w:hanging="260"/>
        <w:rPr>
          <w:color w:val="000000" w:themeColor="text1"/>
          <w:spacing w:val="-2"/>
        </w:rPr>
      </w:pPr>
      <w:proofErr w:type="spellStart"/>
      <w:r w:rsidRPr="00A13FB8">
        <w:rPr>
          <w:color w:val="000000" w:themeColor="text1"/>
        </w:rPr>
        <w:t>Магистърска</w:t>
      </w:r>
      <w:proofErr w:type="spellEnd"/>
      <w:r w:rsidR="00507EA2">
        <w:rPr>
          <w:color w:val="000000" w:themeColor="text1"/>
        </w:rPr>
        <w:t xml:space="preserve"> </w:t>
      </w:r>
      <w:proofErr w:type="spellStart"/>
      <w:r w:rsidRPr="00A13FB8">
        <w:rPr>
          <w:color w:val="000000" w:themeColor="text1"/>
        </w:rPr>
        <w:t>програма</w:t>
      </w:r>
      <w:proofErr w:type="spellEnd"/>
      <w:r w:rsidRPr="00A13FB8">
        <w:rPr>
          <w:color w:val="000000" w:themeColor="text1"/>
        </w:rPr>
        <w:t>:</w:t>
      </w:r>
      <w:r w:rsidR="00507EA2">
        <w:rPr>
          <w:color w:val="000000" w:themeColor="text1"/>
        </w:rPr>
        <w:t xml:space="preserve"> </w:t>
      </w:r>
      <w:proofErr w:type="spellStart"/>
      <w:r w:rsidRPr="00A13FB8">
        <w:rPr>
          <w:color w:val="000000" w:themeColor="text1"/>
        </w:rPr>
        <w:t>Конферентен</w:t>
      </w:r>
      <w:proofErr w:type="spellEnd"/>
      <w:r w:rsidR="00507EA2">
        <w:rPr>
          <w:color w:val="000000" w:themeColor="text1"/>
        </w:rPr>
        <w:t xml:space="preserve"> </w:t>
      </w:r>
      <w:proofErr w:type="spellStart"/>
      <w:r w:rsidRPr="00A13FB8">
        <w:rPr>
          <w:color w:val="000000" w:themeColor="text1"/>
          <w:spacing w:val="-2"/>
        </w:rPr>
        <w:t>превод</w:t>
      </w:r>
      <w:proofErr w:type="spellEnd"/>
    </w:p>
    <w:p w:rsidR="00767349" w:rsidRPr="00A13FB8" w:rsidRDefault="00767349" w:rsidP="00767349">
      <w:pPr>
        <w:pStyle w:val="BodyText"/>
        <w:kinsoku w:val="0"/>
        <w:overflowPunct w:val="0"/>
        <w:spacing w:before="4"/>
        <w:ind w:left="0" w:firstLine="0"/>
        <w:jc w:val="left"/>
        <w:rPr>
          <w:rFonts w:ascii="Arial Narrow" w:hAnsi="Arial Narrow" w:cs="Arial Narrow"/>
          <w:b/>
          <w:bCs/>
          <w:color w:val="000000" w:themeColor="text1"/>
          <w:sz w:val="21"/>
          <w:szCs w:val="21"/>
        </w:rPr>
      </w:pPr>
    </w:p>
    <w:p w:rsidR="00767349" w:rsidRPr="00A13FB8" w:rsidRDefault="00767349" w:rsidP="00767349">
      <w:pPr>
        <w:pStyle w:val="BodyText"/>
        <w:kinsoku w:val="0"/>
        <w:overflowPunct w:val="0"/>
        <w:spacing w:line="242" w:lineRule="exact"/>
        <w:ind w:left="312" w:firstLine="0"/>
        <w:jc w:val="left"/>
        <w:rPr>
          <w:color w:val="000000" w:themeColor="text1"/>
          <w:spacing w:val="-2"/>
        </w:rPr>
      </w:pPr>
      <w:proofErr w:type="spellStart"/>
      <w:r w:rsidRPr="00A13FB8">
        <w:rPr>
          <w:i/>
          <w:iCs/>
          <w:color w:val="000000" w:themeColor="text1"/>
          <w:spacing w:val="-2"/>
        </w:rPr>
        <w:t>Срок</w:t>
      </w:r>
      <w:proofErr w:type="spellEnd"/>
      <w:r w:rsidR="00507EA2">
        <w:rPr>
          <w:i/>
          <w:iCs/>
          <w:color w:val="000000" w:themeColor="text1"/>
          <w:spacing w:val="-2"/>
        </w:rPr>
        <w:t xml:space="preserve"> </w:t>
      </w:r>
      <w:proofErr w:type="spellStart"/>
      <w:r w:rsidRPr="00A13FB8">
        <w:rPr>
          <w:i/>
          <w:iCs/>
          <w:color w:val="000000" w:themeColor="text1"/>
          <w:spacing w:val="-2"/>
        </w:rPr>
        <w:t>на</w:t>
      </w:r>
      <w:proofErr w:type="spellEnd"/>
      <w:r w:rsidR="00507EA2">
        <w:rPr>
          <w:i/>
          <w:iCs/>
          <w:color w:val="000000" w:themeColor="text1"/>
          <w:spacing w:val="-2"/>
        </w:rPr>
        <w:t xml:space="preserve"> </w:t>
      </w:r>
      <w:proofErr w:type="spellStart"/>
      <w:r w:rsidRPr="00A13FB8">
        <w:rPr>
          <w:i/>
          <w:iCs/>
          <w:color w:val="000000" w:themeColor="text1"/>
          <w:spacing w:val="-2"/>
        </w:rPr>
        <w:t>обучение</w:t>
      </w:r>
      <w:proofErr w:type="spellEnd"/>
      <w:r w:rsidRPr="00A13FB8">
        <w:rPr>
          <w:color w:val="000000" w:themeColor="text1"/>
          <w:spacing w:val="-2"/>
        </w:rPr>
        <w:t>:</w:t>
      </w:r>
      <w:r w:rsidR="00507EA2">
        <w:rPr>
          <w:color w:val="000000" w:themeColor="text1"/>
          <w:spacing w:val="-2"/>
        </w:rPr>
        <w:t xml:space="preserve"> </w:t>
      </w:r>
      <w:r w:rsidRPr="00A13FB8">
        <w:rPr>
          <w:color w:val="000000" w:themeColor="text1"/>
          <w:spacing w:val="-2"/>
        </w:rPr>
        <w:t>2</w:t>
      </w:r>
      <w:r w:rsidR="00507EA2">
        <w:rPr>
          <w:color w:val="000000" w:themeColor="text1"/>
          <w:spacing w:val="-2"/>
          <w:lang w:val="bg-BG"/>
        </w:rPr>
        <w:t xml:space="preserve"> </w:t>
      </w:r>
      <w:proofErr w:type="spellStart"/>
      <w:r w:rsidRPr="00A13FB8">
        <w:rPr>
          <w:color w:val="000000" w:themeColor="text1"/>
          <w:spacing w:val="-2"/>
        </w:rPr>
        <w:t>семестъра</w:t>
      </w:r>
      <w:proofErr w:type="spellEnd"/>
    </w:p>
    <w:p w:rsidR="00767349" w:rsidRPr="00A13FB8" w:rsidRDefault="00767349" w:rsidP="00767349">
      <w:pPr>
        <w:pStyle w:val="BodyText"/>
        <w:kinsoku w:val="0"/>
        <w:overflowPunct w:val="0"/>
        <w:spacing w:line="240" w:lineRule="exact"/>
        <w:ind w:left="312" w:firstLine="0"/>
        <w:jc w:val="left"/>
        <w:rPr>
          <w:color w:val="000000" w:themeColor="text1"/>
          <w:spacing w:val="-2"/>
          <w:w w:val="90"/>
        </w:rPr>
      </w:pPr>
      <w:proofErr w:type="spellStart"/>
      <w:r w:rsidRPr="00A13FB8">
        <w:rPr>
          <w:i/>
          <w:iCs/>
          <w:color w:val="000000" w:themeColor="text1"/>
          <w:w w:val="90"/>
        </w:rPr>
        <w:t>Форма</w:t>
      </w:r>
      <w:proofErr w:type="spellEnd"/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i/>
          <w:iCs/>
          <w:color w:val="000000" w:themeColor="text1"/>
          <w:w w:val="90"/>
        </w:rPr>
        <w:t>на</w:t>
      </w:r>
      <w:proofErr w:type="spellEnd"/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i/>
          <w:iCs/>
          <w:color w:val="000000" w:themeColor="text1"/>
          <w:w w:val="90"/>
        </w:rPr>
        <w:t>обучение</w:t>
      </w:r>
      <w:proofErr w:type="spellEnd"/>
      <w:r w:rsidRPr="00A13FB8">
        <w:rPr>
          <w:color w:val="000000" w:themeColor="text1"/>
          <w:w w:val="90"/>
        </w:rPr>
        <w:t>:</w:t>
      </w:r>
      <w:r w:rsidR="00507EA2">
        <w:rPr>
          <w:color w:val="000000" w:themeColor="text1"/>
          <w:w w:val="90"/>
        </w:rPr>
        <w:t xml:space="preserve"> </w:t>
      </w:r>
      <w:proofErr w:type="spellStart"/>
      <w:r w:rsidRPr="00A13FB8">
        <w:rPr>
          <w:color w:val="000000" w:themeColor="text1"/>
          <w:spacing w:val="-2"/>
          <w:w w:val="90"/>
        </w:rPr>
        <w:t>редовна</w:t>
      </w:r>
      <w:proofErr w:type="spellEnd"/>
    </w:p>
    <w:p w:rsidR="00767349" w:rsidRPr="00A13FB8" w:rsidRDefault="00767349" w:rsidP="00767349">
      <w:pPr>
        <w:pStyle w:val="BodyText"/>
        <w:kinsoku w:val="0"/>
        <w:overflowPunct w:val="0"/>
        <w:spacing w:line="240" w:lineRule="exact"/>
        <w:ind w:left="312" w:firstLine="0"/>
        <w:jc w:val="left"/>
        <w:rPr>
          <w:color w:val="000000" w:themeColor="text1"/>
          <w:spacing w:val="-2"/>
          <w:w w:val="90"/>
        </w:rPr>
      </w:pPr>
      <w:proofErr w:type="spellStart"/>
      <w:r w:rsidRPr="00A13FB8">
        <w:rPr>
          <w:i/>
          <w:iCs/>
          <w:color w:val="000000" w:themeColor="text1"/>
          <w:w w:val="90"/>
        </w:rPr>
        <w:t>Начало</w:t>
      </w:r>
      <w:proofErr w:type="spellEnd"/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i/>
          <w:iCs/>
          <w:color w:val="000000" w:themeColor="text1"/>
          <w:w w:val="90"/>
        </w:rPr>
        <w:t>на</w:t>
      </w:r>
      <w:proofErr w:type="spellEnd"/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i/>
          <w:iCs/>
          <w:color w:val="000000" w:themeColor="text1"/>
          <w:w w:val="90"/>
        </w:rPr>
        <w:t>обучението</w:t>
      </w:r>
      <w:proofErr w:type="spellEnd"/>
      <w:r w:rsidRPr="00A13FB8">
        <w:rPr>
          <w:i/>
          <w:iCs/>
          <w:color w:val="000000" w:themeColor="text1"/>
          <w:w w:val="90"/>
        </w:rPr>
        <w:t>:</w:t>
      </w:r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color w:val="000000" w:themeColor="text1"/>
          <w:w w:val="90"/>
        </w:rPr>
        <w:t>зимен</w:t>
      </w:r>
      <w:proofErr w:type="spellEnd"/>
      <w:r w:rsidR="00507EA2">
        <w:rPr>
          <w:color w:val="000000" w:themeColor="text1"/>
          <w:w w:val="90"/>
        </w:rPr>
        <w:t xml:space="preserve"> </w:t>
      </w:r>
      <w:proofErr w:type="spellStart"/>
      <w:r w:rsidRPr="00A13FB8">
        <w:rPr>
          <w:color w:val="000000" w:themeColor="text1"/>
          <w:spacing w:val="-2"/>
          <w:w w:val="90"/>
        </w:rPr>
        <w:t>семестър</w:t>
      </w:r>
      <w:proofErr w:type="spellEnd"/>
    </w:p>
    <w:p w:rsidR="00767349" w:rsidRPr="00A13FB8" w:rsidRDefault="00767349" w:rsidP="00767349">
      <w:pPr>
        <w:pStyle w:val="BodyText"/>
        <w:kinsoku w:val="0"/>
        <w:overflowPunct w:val="0"/>
        <w:spacing w:line="240" w:lineRule="exact"/>
        <w:ind w:left="312" w:firstLine="0"/>
        <w:jc w:val="left"/>
        <w:rPr>
          <w:i/>
          <w:iCs/>
          <w:color w:val="000000" w:themeColor="text1"/>
          <w:spacing w:val="-2"/>
          <w:w w:val="90"/>
        </w:rPr>
      </w:pPr>
      <w:proofErr w:type="spellStart"/>
      <w:r w:rsidRPr="00A13FB8">
        <w:rPr>
          <w:i/>
          <w:iCs/>
          <w:color w:val="000000" w:themeColor="text1"/>
          <w:w w:val="90"/>
        </w:rPr>
        <w:t>Обучение</w:t>
      </w:r>
      <w:proofErr w:type="spellEnd"/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i/>
          <w:iCs/>
          <w:color w:val="000000" w:themeColor="text1"/>
          <w:w w:val="90"/>
        </w:rPr>
        <w:t>срещу</w:t>
      </w:r>
      <w:proofErr w:type="spellEnd"/>
      <w:r w:rsidR="00507EA2">
        <w:rPr>
          <w:i/>
          <w:iCs/>
          <w:color w:val="000000" w:themeColor="text1"/>
          <w:w w:val="90"/>
        </w:rPr>
        <w:t xml:space="preserve"> </w:t>
      </w:r>
      <w:proofErr w:type="spellStart"/>
      <w:r w:rsidRPr="00A13FB8">
        <w:rPr>
          <w:i/>
          <w:iCs/>
          <w:color w:val="000000" w:themeColor="text1"/>
          <w:spacing w:val="-2"/>
          <w:w w:val="90"/>
        </w:rPr>
        <w:t>заплащане</w:t>
      </w:r>
      <w:proofErr w:type="spellEnd"/>
    </w:p>
    <w:p w:rsidR="00767349" w:rsidRPr="00123932" w:rsidRDefault="00767349" w:rsidP="00767349">
      <w:pPr>
        <w:pStyle w:val="BodyText"/>
        <w:kinsoku w:val="0"/>
        <w:overflowPunct w:val="0"/>
        <w:spacing w:line="240" w:lineRule="exact"/>
        <w:ind w:left="312" w:firstLine="0"/>
        <w:jc w:val="left"/>
        <w:rPr>
          <w:color w:val="000000" w:themeColor="text1"/>
          <w:spacing w:val="-2"/>
          <w:w w:val="90"/>
          <w:lang w:val="ru-RU"/>
        </w:rPr>
      </w:pPr>
      <w:r w:rsidRPr="00123932">
        <w:rPr>
          <w:i/>
          <w:iCs/>
          <w:color w:val="000000" w:themeColor="text1"/>
          <w:w w:val="90"/>
          <w:lang w:val="ru-RU"/>
        </w:rPr>
        <w:t>Ръководител</w:t>
      </w:r>
      <w:r w:rsidR="00507EA2">
        <w:rPr>
          <w:i/>
          <w:iCs/>
          <w:color w:val="000000" w:themeColor="text1"/>
          <w:w w:val="90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на</w:t>
      </w:r>
      <w:r w:rsidR="00507EA2">
        <w:rPr>
          <w:i/>
          <w:iCs/>
          <w:color w:val="000000" w:themeColor="text1"/>
          <w:w w:val="90"/>
        </w:rPr>
        <w:t xml:space="preserve"> </w:t>
      </w:r>
      <w:r w:rsidRPr="00123932">
        <w:rPr>
          <w:i/>
          <w:iCs/>
          <w:color w:val="000000" w:themeColor="text1"/>
          <w:w w:val="90"/>
          <w:lang w:val="ru-RU"/>
        </w:rPr>
        <w:t>програмата:</w:t>
      </w:r>
      <w:r w:rsidR="00507EA2">
        <w:rPr>
          <w:i/>
          <w:iCs/>
          <w:color w:val="000000" w:themeColor="text1"/>
          <w:w w:val="90"/>
        </w:rPr>
        <w:t xml:space="preserve"> </w:t>
      </w:r>
      <w:r w:rsidRPr="00123932">
        <w:rPr>
          <w:color w:val="000000" w:themeColor="text1"/>
          <w:w w:val="90"/>
          <w:lang w:val="ru-RU"/>
        </w:rPr>
        <w:t>гл.а</w:t>
      </w:r>
      <w:r w:rsidR="00507EA2">
        <w:rPr>
          <w:color w:val="000000" w:themeColor="text1"/>
          <w:w w:val="90"/>
        </w:rPr>
        <w:t xml:space="preserve"> </w:t>
      </w:r>
      <w:r w:rsidRPr="00123932">
        <w:rPr>
          <w:color w:val="000000" w:themeColor="text1"/>
          <w:w w:val="90"/>
          <w:lang w:val="ru-RU"/>
        </w:rPr>
        <w:t>с.</w:t>
      </w:r>
      <w:r w:rsidR="00507EA2">
        <w:rPr>
          <w:color w:val="000000" w:themeColor="text1"/>
          <w:w w:val="90"/>
        </w:rPr>
        <w:t xml:space="preserve"> </w:t>
      </w:r>
      <w:r w:rsidRPr="00123932">
        <w:rPr>
          <w:color w:val="000000" w:themeColor="text1"/>
          <w:w w:val="90"/>
          <w:lang w:val="ru-RU"/>
        </w:rPr>
        <w:t>д-р</w:t>
      </w:r>
      <w:r w:rsidR="00507EA2">
        <w:rPr>
          <w:color w:val="000000" w:themeColor="text1"/>
          <w:w w:val="90"/>
        </w:rPr>
        <w:t xml:space="preserve"> </w:t>
      </w:r>
      <w:r w:rsidRPr="00123932">
        <w:rPr>
          <w:color w:val="000000" w:themeColor="text1"/>
          <w:w w:val="90"/>
          <w:lang w:val="ru-RU"/>
        </w:rPr>
        <w:t>Нели</w:t>
      </w:r>
      <w:r w:rsid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spacing w:val="-2"/>
          <w:w w:val="90"/>
          <w:lang w:val="ru-RU"/>
        </w:rPr>
        <w:t>Якимова</w:t>
      </w:r>
    </w:p>
    <w:p w:rsidR="00767349" w:rsidRPr="00507EA2" w:rsidRDefault="00767349" w:rsidP="00767349">
      <w:pPr>
        <w:pStyle w:val="BodyText"/>
        <w:kinsoku w:val="0"/>
        <w:overflowPunct w:val="0"/>
        <w:spacing w:line="242" w:lineRule="exact"/>
        <w:ind w:left="312" w:firstLine="0"/>
        <w:jc w:val="left"/>
        <w:rPr>
          <w:color w:val="000000" w:themeColor="text1"/>
          <w:spacing w:val="-2"/>
          <w:w w:val="90"/>
          <w:lang w:val="ru-RU"/>
        </w:rPr>
      </w:pPr>
      <w:proofErr w:type="gramStart"/>
      <w:r w:rsidRPr="00A13FB8">
        <w:rPr>
          <w:i/>
          <w:iCs/>
          <w:color w:val="000000" w:themeColor="text1"/>
          <w:w w:val="90"/>
        </w:rPr>
        <w:t>e</w:t>
      </w:r>
      <w:r w:rsidRPr="00507EA2">
        <w:rPr>
          <w:i/>
          <w:iCs/>
          <w:color w:val="000000" w:themeColor="text1"/>
          <w:w w:val="90"/>
          <w:lang w:val="ru-RU"/>
        </w:rPr>
        <w:t>-</w:t>
      </w:r>
      <w:r w:rsidRPr="00A13FB8">
        <w:rPr>
          <w:i/>
          <w:iCs/>
          <w:color w:val="000000" w:themeColor="text1"/>
          <w:w w:val="90"/>
        </w:rPr>
        <w:t>mail</w:t>
      </w:r>
      <w:proofErr w:type="gramEnd"/>
      <w:r w:rsidRPr="00507EA2">
        <w:rPr>
          <w:i/>
          <w:iCs/>
          <w:color w:val="000000" w:themeColor="text1"/>
          <w:w w:val="90"/>
          <w:lang w:val="ru-RU"/>
        </w:rPr>
        <w:t>:</w:t>
      </w:r>
      <w:r w:rsidR="00507EA2">
        <w:rPr>
          <w:i/>
          <w:iCs/>
          <w:color w:val="000000" w:themeColor="text1"/>
          <w:w w:val="90"/>
        </w:rPr>
        <w:t xml:space="preserve"> </w:t>
      </w:r>
      <w:hyperlink r:id="rId5" w:history="1">
        <w:r w:rsidRPr="00A13FB8">
          <w:rPr>
            <w:color w:val="000000" w:themeColor="text1"/>
            <w:w w:val="90"/>
          </w:rPr>
          <w:t>jakimova</w:t>
        </w:r>
        <w:r w:rsidRPr="00507EA2">
          <w:rPr>
            <w:color w:val="000000" w:themeColor="text1"/>
            <w:w w:val="90"/>
            <w:lang w:val="ru-RU"/>
          </w:rPr>
          <w:t>@</w:t>
        </w:r>
        <w:r w:rsidRPr="00A13FB8">
          <w:rPr>
            <w:color w:val="000000" w:themeColor="text1"/>
            <w:w w:val="90"/>
          </w:rPr>
          <w:t>uni</w:t>
        </w:r>
        <w:r w:rsidRPr="00507EA2">
          <w:rPr>
            <w:color w:val="000000" w:themeColor="text1"/>
            <w:w w:val="90"/>
            <w:lang w:val="ru-RU"/>
          </w:rPr>
          <w:t>-</w:t>
        </w:r>
        <w:r w:rsidRPr="00A13FB8">
          <w:rPr>
            <w:color w:val="000000" w:themeColor="text1"/>
            <w:spacing w:val="-2"/>
            <w:w w:val="90"/>
          </w:rPr>
          <w:t>sofia</w:t>
        </w:r>
        <w:r w:rsidRPr="00507EA2">
          <w:rPr>
            <w:color w:val="000000" w:themeColor="text1"/>
            <w:spacing w:val="-2"/>
            <w:w w:val="90"/>
            <w:lang w:val="ru-RU"/>
          </w:rPr>
          <w:t>.</w:t>
        </w:r>
        <w:proofErr w:type="spellStart"/>
        <w:r w:rsidRPr="00A13FB8">
          <w:rPr>
            <w:color w:val="000000" w:themeColor="text1"/>
            <w:spacing w:val="-2"/>
            <w:w w:val="90"/>
          </w:rPr>
          <w:t>bg</w:t>
        </w:r>
        <w:proofErr w:type="spellEnd"/>
      </w:hyperlink>
    </w:p>
    <w:p w:rsidR="00767349" w:rsidRPr="00123932" w:rsidRDefault="00767349" w:rsidP="00767349">
      <w:pPr>
        <w:pStyle w:val="BodyText"/>
        <w:kinsoku w:val="0"/>
        <w:overflowPunct w:val="0"/>
        <w:spacing w:before="240" w:line="235" w:lineRule="auto"/>
        <w:ind w:left="29" w:right="134"/>
        <w:rPr>
          <w:color w:val="000000" w:themeColor="text1"/>
          <w:spacing w:val="-2"/>
          <w:lang w:val="ru-RU"/>
        </w:rPr>
      </w:pPr>
      <w:r w:rsidRPr="00123932">
        <w:rPr>
          <w:color w:val="000000" w:themeColor="text1"/>
          <w:lang w:val="ru-RU"/>
        </w:rPr>
        <w:t xml:space="preserve">Школата по конферентен превод към Факултета по класически и нови </w:t>
      </w:r>
      <w:r w:rsidRPr="00123932">
        <w:rPr>
          <w:color w:val="000000" w:themeColor="text1"/>
          <w:spacing w:val="-2"/>
          <w:lang w:val="ru-RU"/>
        </w:rPr>
        <w:t>филологии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наС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офийски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университет„Св.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Климент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Охридски“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е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създадена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с </w:t>
      </w:r>
      <w:r w:rsidRPr="00123932">
        <w:rPr>
          <w:color w:val="000000" w:themeColor="text1"/>
          <w:w w:val="90"/>
          <w:lang w:val="ru-RU"/>
        </w:rPr>
        <w:t>помощта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Генерална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дирекция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„Устни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преводи“към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Европейската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 xml:space="preserve">комисия </w:t>
      </w:r>
      <w:r w:rsidRPr="00123932">
        <w:rPr>
          <w:color w:val="000000" w:themeColor="text1"/>
          <w:spacing w:val="-2"/>
          <w:lang w:val="ru-RU"/>
        </w:rPr>
        <w:t>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започва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работа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през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2002г.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Магистърската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програма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по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конферентен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</w:t>
      </w:r>
      <w:r w:rsidRPr="00123932">
        <w:rPr>
          <w:color w:val="000000" w:themeColor="text1"/>
          <w:w w:val="90"/>
          <w:lang w:val="ru-RU"/>
        </w:rPr>
        <w:t xml:space="preserve">вод има за цел да подготви конферентни преводачи съгласно стандартите на утвърдените европейски преводачески школи и изискванията на европейските институции, в частност Европейската комисия и Европейския парламент. Изис- кванията към кандидатите са да са завършили бакалавърска или магистърска </w:t>
      </w:r>
      <w:r w:rsidRPr="00123932">
        <w:rPr>
          <w:color w:val="000000" w:themeColor="text1"/>
          <w:spacing w:val="-2"/>
          <w:lang w:val="ru-RU"/>
        </w:rPr>
        <w:t>степен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обучение,независимо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каква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специалност,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да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владеят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отлично </w:t>
      </w:r>
      <w:r w:rsidRPr="00123932">
        <w:rPr>
          <w:color w:val="000000" w:themeColor="text1"/>
          <w:spacing w:val="-4"/>
          <w:lang w:val="ru-RU"/>
        </w:rPr>
        <w:t xml:space="preserve">както родния си език (български), така и един активен чужд език (английски, </w:t>
      </w:r>
      <w:r w:rsidRPr="00123932">
        <w:rPr>
          <w:color w:val="000000" w:themeColor="text1"/>
          <w:w w:val="90"/>
          <w:lang w:val="ru-RU"/>
        </w:rPr>
        <w:t>френски или немски език). В магистърската програма се изучават различните техники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устния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превод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консекутивен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(с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без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водене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записки),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 xml:space="preserve">синхронен и някои други близки до тях разновидности. Предлага се и обучение с пасивен </w:t>
      </w:r>
      <w:r w:rsidRPr="00123932">
        <w:rPr>
          <w:color w:val="000000" w:themeColor="text1"/>
          <w:spacing w:val="-2"/>
          <w:lang w:val="ru-RU"/>
        </w:rPr>
        <w:t>чужд език (английски, френски, немски, испански и италиански).</w:t>
      </w:r>
    </w:p>
    <w:p w:rsidR="00767349" w:rsidRPr="00123932" w:rsidRDefault="00767349" w:rsidP="00767349">
      <w:pPr>
        <w:pStyle w:val="BodyText"/>
        <w:kinsoku w:val="0"/>
        <w:overflowPunct w:val="0"/>
        <w:spacing w:before="10" w:line="235" w:lineRule="auto"/>
        <w:ind w:left="29" w:right="137"/>
        <w:rPr>
          <w:color w:val="000000" w:themeColor="text1"/>
          <w:lang w:val="ru-RU"/>
        </w:rPr>
      </w:pPr>
      <w:r w:rsidRPr="00123932">
        <w:rPr>
          <w:color w:val="000000" w:themeColor="text1"/>
          <w:w w:val="90"/>
          <w:lang w:val="ru-RU"/>
        </w:rPr>
        <w:t>Програмата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се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подпомагаот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ГД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„Устни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преводи“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Европейската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комисия 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ГД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„Логистика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устнипреводи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за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конференции“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Европейския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парламент. В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обучението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изпитите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участват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щатни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устни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преводачи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от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институциите на Европейския съюз</w:t>
      </w:r>
      <w:r w:rsidR="00507EA2" w:rsidRPr="00507EA2">
        <w:rPr>
          <w:color w:val="000000" w:themeColor="text1"/>
          <w:w w:val="90"/>
          <w:lang w:val="ru-RU"/>
        </w:rPr>
        <w:t xml:space="preserve">. </w:t>
      </w:r>
      <w:r w:rsidRPr="00123932">
        <w:rPr>
          <w:color w:val="000000" w:themeColor="text1"/>
          <w:w w:val="90"/>
          <w:lang w:val="ru-RU"/>
        </w:rPr>
        <w:t>В занятията гостуват утвърдени български и чуждестран</w:t>
      </w:r>
      <w:r w:rsidRPr="00123932">
        <w:rPr>
          <w:color w:val="000000" w:themeColor="text1"/>
          <w:spacing w:val="-2"/>
          <w:lang w:val="ru-RU"/>
        </w:rPr>
        <w:t>ни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устни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преводачи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експерти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от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различни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области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обществения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живот. </w:t>
      </w:r>
      <w:r w:rsidRPr="00123932">
        <w:rPr>
          <w:color w:val="000000" w:themeColor="text1"/>
          <w:lang w:val="ru-RU"/>
        </w:rPr>
        <w:t>Застудентите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ежегодно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се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организират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учебни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посещения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в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 xml:space="preserve">европейските </w:t>
      </w:r>
      <w:r w:rsidRPr="00123932">
        <w:rPr>
          <w:color w:val="000000" w:themeColor="text1"/>
          <w:w w:val="90"/>
          <w:lang w:val="ru-RU"/>
        </w:rPr>
        <w:t xml:space="preserve">институции в Брюксел, където те могат да се запознаят отблизо с работата на </w:t>
      </w:r>
      <w:r w:rsidRPr="00123932">
        <w:rPr>
          <w:color w:val="000000" w:themeColor="text1"/>
          <w:lang w:val="ru-RU"/>
        </w:rPr>
        <w:t>конферентните преводачи.</w:t>
      </w:r>
    </w:p>
    <w:p w:rsidR="00767349" w:rsidRPr="00123932" w:rsidRDefault="00767349" w:rsidP="00767349">
      <w:pPr>
        <w:pStyle w:val="BodyText"/>
        <w:kinsoku w:val="0"/>
        <w:overflowPunct w:val="0"/>
        <w:spacing w:before="6" w:line="235" w:lineRule="auto"/>
        <w:ind w:left="29" w:right="138"/>
        <w:rPr>
          <w:color w:val="000000" w:themeColor="text1"/>
          <w:lang w:val="ru-RU"/>
        </w:rPr>
      </w:pPr>
      <w:r w:rsidRPr="00123932">
        <w:rPr>
          <w:i/>
          <w:iCs/>
          <w:color w:val="000000" w:themeColor="text1"/>
          <w:lang w:val="ru-RU"/>
        </w:rPr>
        <w:t>Прием</w:t>
      </w:r>
      <w:r w:rsidRPr="00123932">
        <w:rPr>
          <w:color w:val="000000" w:themeColor="text1"/>
          <w:lang w:val="ru-RU"/>
        </w:rPr>
        <w:t>: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Приемният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изпит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се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провежда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в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две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части,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първата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от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които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 xml:space="preserve">се </w:t>
      </w:r>
      <w:r w:rsidRPr="00123932">
        <w:rPr>
          <w:color w:val="000000" w:themeColor="text1"/>
          <w:spacing w:val="-2"/>
          <w:lang w:val="ru-RU"/>
        </w:rPr>
        <w:t>състои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писмен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превод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на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обществено-политически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текстове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от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към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чужд </w:t>
      </w:r>
      <w:r w:rsidRPr="00123932">
        <w:rPr>
          <w:color w:val="000000" w:themeColor="text1"/>
          <w:w w:val="90"/>
          <w:lang w:val="ru-RU"/>
        </w:rPr>
        <w:t>(английски,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="00507EA2">
        <w:rPr>
          <w:color w:val="000000" w:themeColor="text1"/>
          <w:w w:val="90"/>
          <w:lang w:val="ru-RU"/>
        </w:rPr>
        <w:t>немски</w:t>
      </w:r>
      <w:r w:rsidR="00507EA2" w:rsidRPr="00507EA2">
        <w:rPr>
          <w:color w:val="000000" w:themeColor="text1"/>
          <w:w w:val="90"/>
          <w:lang w:val="ru-RU"/>
        </w:rPr>
        <w:t xml:space="preserve">, </w:t>
      </w:r>
      <w:r w:rsidRPr="00123932">
        <w:rPr>
          <w:color w:val="000000" w:themeColor="text1"/>
          <w:w w:val="90"/>
          <w:lang w:val="ru-RU"/>
        </w:rPr>
        <w:t>или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френски)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език.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Успешно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издържалите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писмения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изпит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(с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успех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най-малко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много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добър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4.50)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се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допускат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до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устен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изпит.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 w:rsidRPr="00123932">
        <w:rPr>
          <w:color w:val="000000" w:themeColor="text1"/>
          <w:w w:val="90"/>
          <w:lang w:val="ru-RU"/>
        </w:rPr>
        <w:t>Устният</w:t>
      </w:r>
      <w:r w:rsidR="00507EA2" w:rsidRPr="00507EA2">
        <w:rPr>
          <w:color w:val="000000" w:themeColor="text1"/>
          <w:w w:val="90"/>
          <w:lang w:val="ru-RU"/>
        </w:rPr>
        <w:t xml:space="preserve"> </w:t>
      </w:r>
      <w:r>
        <w:rPr>
          <w:color w:val="000000" w:themeColor="text1"/>
          <w:spacing w:val="-5"/>
          <w:w w:val="90"/>
          <w:lang w:val="ru-RU"/>
        </w:rPr>
        <w:t>из</w:t>
      </w:r>
      <w:r w:rsidRPr="00123932">
        <w:rPr>
          <w:color w:val="000000" w:themeColor="text1"/>
          <w:spacing w:val="-2"/>
          <w:lang w:val="ru-RU"/>
        </w:rPr>
        <w:t>пит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представлява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консекутивен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превод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без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записки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в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двете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посоки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(от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>и</w:t>
      </w:r>
      <w:r w:rsidR="00507EA2" w:rsidRPr="00507EA2">
        <w:rPr>
          <w:color w:val="000000" w:themeColor="text1"/>
          <w:spacing w:val="-2"/>
          <w:lang w:val="ru-RU"/>
        </w:rPr>
        <w:t xml:space="preserve"> </w:t>
      </w:r>
      <w:r w:rsidRPr="00123932">
        <w:rPr>
          <w:color w:val="000000" w:themeColor="text1"/>
          <w:spacing w:val="-2"/>
          <w:lang w:val="ru-RU"/>
        </w:rPr>
        <w:t xml:space="preserve">към </w:t>
      </w:r>
      <w:r w:rsidRPr="00123932">
        <w:rPr>
          <w:color w:val="000000" w:themeColor="text1"/>
          <w:lang w:val="ru-RU"/>
        </w:rPr>
        <w:t>чуждия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език)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на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речи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с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дължина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от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около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три</w:t>
      </w:r>
      <w:r w:rsidR="00507EA2" w:rsidRPr="00507EA2">
        <w:rPr>
          <w:color w:val="000000" w:themeColor="text1"/>
          <w:lang w:val="ru-RU"/>
        </w:rPr>
        <w:t xml:space="preserve"> </w:t>
      </w:r>
      <w:r w:rsidRPr="00123932">
        <w:rPr>
          <w:color w:val="000000" w:themeColor="text1"/>
          <w:lang w:val="ru-RU"/>
        </w:rPr>
        <w:t>минути.</w:t>
      </w:r>
    </w:p>
    <w:p w:rsidR="00767349" w:rsidRPr="00123932" w:rsidRDefault="00767349" w:rsidP="00767349">
      <w:pPr>
        <w:pStyle w:val="BodyText"/>
        <w:kinsoku w:val="0"/>
        <w:overflowPunct w:val="0"/>
        <w:spacing w:before="1" w:line="235" w:lineRule="auto"/>
        <w:ind w:right="20"/>
        <w:rPr>
          <w:color w:val="000000" w:themeColor="text1"/>
          <w:lang w:val="ru-RU"/>
        </w:rPr>
      </w:pPr>
      <w:r w:rsidRPr="00123932">
        <w:rPr>
          <w:i/>
          <w:iCs/>
          <w:color w:val="000000" w:themeColor="text1"/>
          <w:spacing w:val="-4"/>
          <w:lang w:val="ru-RU"/>
        </w:rPr>
        <w:t>Допълнителни</w:t>
      </w:r>
      <w:r w:rsidR="00507EA2" w:rsidRPr="00507EA2">
        <w:rPr>
          <w:i/>
          <w:iCs/>
          <w:color w:val="000000" w:themeColor="text1"/>
          <w:spacing w:val="-4"/>
          <w:lang w:val="ru-RU"/>
        </w:rPr>
        <w:t xml:space="preserve"> </w:t>
      </w:r>
      <w:r w:rsidR="00507EA2">
        <w:rPr>
          <w:i/>
          <w:iCs/>
          <w:color w:val="000000" w:themeColor="text1"/>
          <w:spacing w:val="-4"/>
          <w:lang w:val="bg-BG"/>
        </w:rPr>
        <w:t>у</w:t>
      </w:r>
      <w:r w:rsidRPr="00123932">
        <w:rPr>
          <w:i/>
          <w:iCs/>
          <w:color w:val="000000" w:themeColor="text1"/>
          <w:spacing w:val="-4"/>
          <w:lang w:val="ru-RU"/>
        </w:rPr>
        <w:t>словия</w:t>
      </w:r>
      <w:r w:rsidR="00507EA2" w:rsidRPr="00507EA2">
        <w:rPr>
          <w:i/>
          <w:iCs/>
          <w:color w:val="000000" w:themeColor="text1"/>
          <w:spacing w:val="-4"/>
          <w:lang w:val="ru-RU"/>
        </w:rPr>
        <w:t xml:space="preserve"> </w:t>
      </w:r>
      <w:r w:rsidRPr="00123932">
        <w:rPr>
          <w:i/>
          <w:iCs/>
          <w:color w:val="000000" w:themeColor="text1"/>
          <w:spacing w:val="-4"/>
          <w:lang w:val="ru-RU"/>
        </w:rPr>
        <w:t>за</w:t>
      </w:r>
      <w:r w:rsidR="00507EA2" w:rsidRPr="00507EA2">
        <w:rPr>
          <w:i/>
          <w:iCs/>
          <w:color w:val="000000" w:themeColor="text1"/>
          <w:spacing w:val="-4"/>
          <w:lang w:val="ru-RU"/>
        </w:rPr>
        <w:t xml:space="preserve"> </w:t>
      </w:r>
      <w:r w:rsidRPr="00123932">
        <w:rPr>
          <w:i/>
          <w:iCs/>
          <w:color w:val="000000" w:themeColor="text1"/>
          <w:spacing w:val="-4"/>
          <w:lang w:val="ru-RU"/>
        </w:rPr>
        <w:t>прием</w:t>
      </w:r>
      <w:r w:rsidRPr="00123932">
        <w:rPr>
          <w:color w:val="000000" w:themeColor="text1"/>
          <w:spacing w:val="-4"/>
          <w:lang w:val="ru-RU"/>
        </w:rPr>
        <w:t>: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Среден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успех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от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курса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на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>обучение</w:t>
      </w:r>
      <w:r w:rsidR="00507EA2">
        <w:rPr>
          <w:color w:val="000000" w:themeColor="text1"/>
          <w:spacing w:val="-4"/>
          <w:lang w:val="ru-RU"/>
        </w:rPr>
        <w:t xml:space="preserve"> </w:t>
      </w:r>
      <w:r w:rsidRPr="00123932">
        <w:rPr>
          <w:color w:val="000000" w:themeColor="text1"/>
          <w:spacing w:val="-4"/>
          <w:lang w:val="ru-RU"/>
        </w:rPr>
        <w:t xml:space="preserve">иот </w:t>
      </w:r>
      <w:r w:rsidRPr="00123932">
        <w:rPr>
          <w:color w:val="000000" w:themeColor="text1"/>
          <w:w w:val="90"/>
          <w:lang w:val="ru-RU"/>
        </w:rPr>
        <w:t>бакалавърските държавни изпити най-малко до</w:t>
      </w:r>
      <w:r>
        <w:rPr>
          <w:color w:val="000000" w:themeColor="text1"/>
          <w:w w:val="90"/>
          <w:lang w:val="ru-RU"/>
        </w:rPr>
        <w:t>бър 4.00 (важи както за филоло</w:t>
      </w:r>
      <w:bookmarkStart w:id="0" w:name="_GoBack"/>
      <w:bookmarkEnd w:id="0"/>
      <w:r w:rsidRPr="00123932">
        <w:rPr>
          <w:color w:val="000000" w:themeColor="text1"/>
          <w:w w:val="90"/>
          <w:lang w:val="ru-RU"/>
        </w:rPr>
        <w:t xml:space="preserve">гическите, така и за други специалности). Приетите в магистърската програма студенти, желаещи да преминат обучение по устен превод от втори (пасивен) чужд език към български, полагат допълнителен изпит за удостоверяване на </w:t>
      </w:r>
      <w:r w:rsidRPr="00123932">
        <w:rPr>
          <w:color w:val="000000" w:themeColor="text1"/>
          <w:lang w:val="ru-RU"/>
        </w:rPr>
        <w:t>необходимото ниво на владеене.</w:t>
      </w:r>
    </w:p>
    <w:p w:rsidR="00F62E91" w:rsidRPr="00767349" w:rsidRDefault="00F62E91">
      <w:pPr>
        <w:rPr>
          <w:lang w:val="ru-RU"/>
        </w:rPr>
      </w:pPr>
    </w:p>
    <w:sectPr w:rsidR="00F62E91" w:rsidRPr="00767349" w:rsidSect="0099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C3"/>
    <w:multiLevelType w:val="multilevel"/>
    <w:tmpl w:val="FFFFFFFF"/>
    <w:lvl w:ilvl="0">
      <w:numFmt w:val="bullet"/>
      <w:lvlText w:val=""/>
      <w:lvlJc w:val="left"/>
      <w:pPr>
        <w:ind w:left="290" w:hanging="262"/>
      </w:pPr>
      <w:rPr>
        <w:rFonts w:ascii="Wingdings" w:hAnsi="Wingdings"/>
        <w:b w:val="0"/>
        <w:i w:val="0"/>
        <w:spacing w:val="0"/>
        <w:w w:val="103"/>
        <w:sz w:val="20"/>
      </w:rPr>
    </w:lvl>
    <w:lvl w:ilvl="1">
      <w:numFmt w:val="bullet"/>
      <w:lvlText w:val=""/>
      <w:lvlJc w:val="left"/>
      <w:pPr>
        <w:ind w:left="511" w:hanging="228"/>
      </w:pPr>
      <w:rPr>
        <w:rFonts w:ascii="Wingdings" w:hAnsi="Wingdings"/>
        <w:b w:val="0"/>
        <w:i w:val="0"/>
        <w:spacing w:val="0"/>
        <w:w w:val="103"/>
        <w:sz w:val="20"/>
      </w:rPr>
    </w:lvl>
    <w:lvl w:ilvl="2">
      <w:numFmt w:val="bullet"/>
      <w:lvlText w:val="•"/>
      <w:lvlJc w:val="left"/>
      <w:pPr>
        <w:ind w:left="142" w:hanging="174"/>
      </w:pPr>
      <w:rPr>
        <w:rFonts w:ascii="Calibri" w:hAnsi="Calibri"/>
        <w:spacing w:val="0"/>
        <w:w w:val="90"/>
      </w:rPr>
    </w:lvl>
    <w:lvl w:ilvl="3">
      <w:numFmt w:val="bullet"/>
      <w:lvlText w:val="•"/>
      <w:lvlJc w:val="left"/>
      <w:pPr>
        <w:ind w:left="580" w:hanging="174"/>
      </w:pPr>
    </w:lvl>
    <w:lvl w:ilvl="4">
      <w:numFmt w:val="bullet"/>
      <w:lvlText w:val="•"/>
      <w:lvlJc w:val="left"/>
      <w:pPr>
        <w:ind w:left="1428" w:hanging="174"/>
      </w:pPr>
    </w:lvl>
    <w:lvl w:ilvl="5">
      <w:numFmt w:val="bullet"/>
      <w:lvlText w:val="•"/>
      <w:lvlJc w:val="left"/>
      <w:pPr>
        <w:ind w:left="2277" w:hanging="174"/>
      </w:pPr>
    </w:lvl>
    <w:lvl w:ilvl="6">
      <w:numFmt w:val="bullet"/>
      <w:lvlText w:val="•"/>
      <w:lvlJc w:val="left"/>
      <w:pPr>
        <w:ind w:left="3126" w:hanging="174"/>
      </w:pPr>
    </w:lvl>
    <w:lvl w:ilvl="7">
      <w:numFmt w:val="bullet"/>
      <w:lvlText w:val="•"/>
      <w:lvlJc w:val="left"/>
      <w:pPr>
        <w:ind w:left="3974" w:hanging="174"/>
      </w:pPr>
    </w:lvl>
    <w:lvl w:ilvl="8">
      <w:numFmt w:val="bullet"/>
      <w:lvlText w:val="•"/>
      <w:lvlJc w:val="left"/>
      <w:pPr>
        <w:ind w:left="4823" w:hanging="17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553826"/>
    <w:rsid w:val="00507EA2"/>
    <w:rsid w:val="00553826"/>
    <w:rsid w:val="00767349"/>
    <w:rsid w:val="009941F0"/>
    <w:rsid w:val="00F6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F0"/>
    <w:rPr>
      <w:lang w:val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767349"/>
    <w:pPr>
      <w:widowControl w:val="0"/>
      <w:autoSpaceDE w:val="0"/>
      <w:autoSpaceDN w:val="0"/>
      <w:adjustRightInd w:val="0"/>
      <w:spacing w:after="0" w:line="240" w:lineRule="auto"/>
      <w:ind w:left="417" w:hanging="275"/>
      <w:outlineLvl w:val="2"/>
    </w:pPr>
    <w:rPr>
      <w:rFonts w:ascii="Arial Narrow" w:hAnsi="Arial Narrow" w:cs="Arial Narrow"/>
      <w:b/>
      <w:bC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67349"/>
    <w:rPr>
      <w:rFonts w:ascii="Arial Narrow" w:hAnsi="Arial Narrow" w:cs="Arial Narrow"/>
      <w:b/>
      <w:bCs/>
      <w:sz w:val="21"/>
      <w:szCs w:val="21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67349"/>
    <w:pPr>
      <w:widowControl w:val="0"/>
      <w:autoSpaceDE w:val="0"/>
      <w:autoSpaceDN w:val="0"/>
      <w:adjustRightInd w:val="0"/>
      <w:spacing w:after="0" w:line="240" w:lineRule="auto"/>
      <w:ind w:left="142" w:firstLine="283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7349"/>
    <w:rPr>
      <w:rFonts w:ascii="Calibri" w:hAnsi="Calibri" w:cs="Calibri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imova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Japanology3</dc:creator>
  <cp:keywords/>
  <dc:description/>
  <cp:lastModifiedBy>DynaBook</cp:lastModifiedBy>
  <cp:revision>3</cp:revision>
  <dcterms:created xsi:type="dcterms:W3CDTF">2025-06-18T07:34:00Z</dcterms:created>
  <dcterms:modified xsi:type="dcterms:W3CDTF">2025-07-21T07:35:00Z</dcterms:modified>
</cp:coreProperties>
</file>