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E6" w:rsidRPr="00181DF1" w:rsidRDefault="004416E6" w:rsidP="00021C7D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sz w:val="26"/>
          <w:szCs w:val="26"/>
          <w:lang w:val="bg-BG" w:eastAsia="bg-BG"/>
        </w:rPr>
      </w:pPr>
    </w:p>
    <w:p w:rsidR="004416E6" w:rsidRPr="00181DF1" w:rsidRDefault="004416E6" w:rsidP="00021C7D">
      <w:pPr>
        <w:overflowPunct/>
        <w:autoSpaceDE/>
        <w:autoSpaceDN/>
        <w:adjustRightInd/>
        <w:spacing w:before="120"/>
        <w:ind w:right="142" w:firstLine="1135"/>
        <w:jc w:val="center"/>
        <w:textAlignment w:val="auto"/>
        <w:rPr>
          <w:rFonts w:asciiTheme="majorBidi" w:hAnsiTheme="majorBidi" w:cstheme="majorBidi"/>
          <w:sz w:val="26"/>
          <w:szCs w:val="26"/>
          <w:lang w:val="bg-BG" w:eastAsia="bg-BG"/>
        </w:rPr>
      </w:pP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>СТАНОВИЩЕ</w:t>
      </w:r>
    </w:p>
    <w:p w:rsidR="004416E6" w:rsidRPr="00181DF1" w:rsidRDefault="004416E6" w:rsidP="00021C7D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sz w:val="26"/>
          <w:szCs w:val="26"/>
          <w:lang w:val="bg-BG" w:eastAsia="bg-BG"/>
        </w:rPr>
      </w:pPr>
    </w:p>
    <w:p w:rsidR="00D91E46" w:rsidRPr="00181DF1" w:rsidRDefault="004416E6" w:rsidP="00021C7D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sz w:val="26"/>
          <w:szCs w:val="26"/>
          <w:lang w:val="bg-BG" w:eastAsia="bg-BG"/>
        </w:rPr>
      </w:pP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на проф. дин Йордан Недев Пеев, член на научното жури, </w:t>
      </w:r>
      <w:r w:rsidR="00181DF1" w:rsidRPr="00181DF1">
        <w:rPr>
          <w:rFonts w:asciiTheme="majorBidi" w:hAnsiTheme="majorBidi" w:cstheme="majorBidi"/>
          <w:sz w:val="26"/>
          <w:szCs w:val="26"/>
          <w:lang w:val="bg-BG" w:eastAsia="bg-BG"/>
        </w:rPr>
        <w:t>о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>пределен със Заповед № РД 38-</w:t>
      </w:r>
      <w:r w:rsidR="00D91E46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506 18-10-2021 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>на Ректора на СУ „Св. Климент Охридски“</w:t>
      </w:r>
      <w:r w:rsidR="00D91E46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</w:p>
    <w:p w:rsidR="00933231" w:rsidRPr="00181DF1" w:rsidRDefault="00D91E46" w:rsidP="00021C7D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i/>
          <w:iCs/>
          <w:sz w:val="26"/>
          <w:szCs w:val="26"/>
          <w:lang w:val="bg-BG" w:eastAsia="bg-BG"/>
        </w:rPr>
      </w:pPr>
      <w:r w:rsidRPr="00181DF1">
        <w:rPr>
          <w:rFonts w:asciiTheme="majorBidi" w:hAnsiTheme="majorBidi" w:cstheme="majorBidi"/>
          <w:i/>
          <w:iCs/>
          <w:sz w:val="26"/>
          <w:szCs w:val="26"/>
          <w:lang w:val="bg-BG" w:eastAsia="bg-BG"/>
        </w:rPr>
        <w:t xml:space="preserve">във връзка </w:t>
      </w:r>
    </w:p>
    <w:p w:rsidR="00933231" w:rsidRPr="00181DF1" w:rsidRDefault="00D91E46" w:rsidP="00021C7D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sz w:val="26"/>
          <w:szCs w:val="26"/>
          <w:lang w:val="bg-BG" w:eastAsia="bg-BG"/>
        </w:rPr>
      </w:pP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със защитата на дисертацията на докторанта </w:t>
      </w:r>
      <w:r w:rsidR="00631668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г-н </w:t>
      </w:r>
      <w:proofErr w:type="spellStart"/>
      <w:r w:rsidR="00631668" w:rsidRPr="00181DF1">
        <w:rPr>
          <w:rFonts w:asciiTheme="majorBidi" w:hAnsiTheme="majorBidi" w:cstheme="majorBidi"/>
          <w:sz w:val="26"/>
          <w:szCs w:val="26"/>
          <w:lang w:val="bg-BG" w:eastAsia="bg-BG"/>
        </w:rPr>
        <w:t>Джехад</w:t>
      </w:r>
      <w:proofErr w:type="spellEnd"/>
      <w:r w:rsidR="00631668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Сюлейман </w:t>
      </w:r>
      <w:proofErr w:type="spellStart"/>
      <w:r w:rsidR="00631668" w:rsidRPr="00181DF1">
        <w:rPr>
          <w:rFonts w:asciiTheme="majorBidi" w:hAnsiTheme="majorBidi" w:cstheme="majorBidi"/>
          <w:sz w:val="26"/>
          <w:szCs w:val="26"/>
          <w:lang w:val="bg-BG" w:eastAsia="bg-BG"/>
        </w:rPr>
        <w:t>Салем</w:t>
      </w:r>
      <w:proofErr w:type="spellEnd"/>
      <w:r w:rsidR="00631668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proofErr w:type="spellStart"/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>А</w:t>
      </w:r>
      <w:r w:rsidR="00631668" w:rsidRPr="00181DF1">
        <w:rPr>
          <w:rFonts w:asciiTheme="majorBidi" w:hAnsiTheme="majorBidi" w:cstheme="majorBidi"/>
          <w:sz w:val="26"/>
          <w:szCs w:val="26"/>
          <w:lang w:val="bg-BG" w:eastAsia="bg-BG"/>
        </w:rPr>
        <w:t>л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>м</w:t>
      </w:r>
      <w:r w:rsidR="00631668" w:rsidRPr="00181DF1">
        <w:rPr>
          <w:rFonts w:asciiTheme="majorBidi" w:hAnsiTheme="majorBidi" w:cstheme="majorBidi"/>
          <w:sz w:val="26"/>
          <w:szCs w:val="26"/>
          <w:lang w:val="bg-BG" w:eastAsia="bg-BG"/>
        </w:rPr>
        <w:t>асри</w:t>
      </w:r>
      <w:proofErr w:type="spellEnd"/>
      <w:r w:rsidR="00933231" w:rsidRPr="00181DF1">
        <w:rPr>
          <w:rFonts w:asciiTheme="majorBidi" w:hAnsiTheme="majorBidi" w:cstheme="majorBidi"/>
          <w:sz w:val="26"/>
          <w:szCs w:val="26"/>
          <w:lang w:val="bg-BG" w:eastAsia="bg-BG"/>
        </w:rPr>
        <w:t>:</w:t>
      </w:r>
    </w:p>
    <w:p w:rsidR="00933231" w:rsidRPr="00181DF1" w:rsidRDefault="00933231" w:rsidP="00021C7D">
      <w:pPr>
        <w:overflowPunct/>
        <w:autoSpaceDE/>
        <w:autoSpaceDN/>
        <w:adjustRightInd/>
        <w:spacing w:before="120"/>
        <w:ind w:right="142" w:firstLine="1135"/>
        <w:jc w:val="center"/>
        <w:textAlignment w:val="auto"/>
        <w:rPr>
          <w:rFonts w:asciiTheme="majorBidi" w:hAnsiTheme="majorBidi" w:cstheme="majorBidi"/>
          <w:sz w:val="26"/>
          <w:szCs w:val="26"/>
          <w:lang w:val="bg-BG"/>
        </w:rPr>
      </w:pPr>
      <w:r w:rsidRPr="00181DF1">
        <w:rPr>
          <w:rFonts w:asciiTheme="majorBidi" w:hAnsiTheme="majorBidi" w:cstheme="majorBidi"/>
          <w:sz w:val="26"/>
          <w:szCs w:val="26"/>
          <w:lang w:val="bg-BG"/>
        </w:rPr>
        <w:t>„</w:t>
      </w:r>
      <w:r w:rsidR="00631668" w:rsidRPr="00181DF1">
        <w:rPr>
          <w:rFonts w:asciiTheme="majorBidi" w:hAnsiTheme="majorBidi" w:cstheme="majorBidi"/>
          <w:sz w:val="26"/>
          <w:szCs w:val="26"/>
        </w:rPr>
        <w:t>INTELLECTUAL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AND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RELIGIOUS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ELITES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IN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THE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LEVANT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AND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THEIR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ATTITUDES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TOWARDS</w:t>
      </w:r>
      <w:r w:rsidR="00181DF1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THE</w:t>
      </w:r>
      <w:r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POLICIES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OF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THE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AYYUBID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DYNASTY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IN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THE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</w:rPr>
        <w:t>PERIOD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1174-1250 </w:t>
      </w:r>
      <w:r w:rsidR="00631668" w:rsidRPr="00181DF1">
        <w:rPr>
          <w:rFonts w:asciiTheme="majorBidi" w:hAnsiTheme="majorBidi" w:cstheme="majorBidi"/>
          <w:sz w:val="26"/>
          <w:szCs w:val="26"/>
        </w:rPr>
        <w:t>AD</w:t>
      </w:r>
      <w:r w:rsidRPr="00181DF1">
        <w:rPr>
          <w:rFonts w:asciiTheme="majorBidi" w:hAnsiTheme="majorBidi" w:cstheme="majorBidi"/>
          <w:sz w:val="26"/>
          <w:szCs w:val="26"/>
          <w:lang w:val="bg-BG"/>
        </w:rPr>
        <w:t>“,</w:t>
      </w:r>
    </w:p>
    <w:p w:rsidR="00631668" w:rsidRPr="00181DF1" w:rsidRDefault="005C13B0" w:rsidP="00021C7D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sz w:val="26"/>
          <w:szCs w:val="26"/>
          <w:lang w:val="bg-BG"/>
        </w:rPr>
      </w:pPr>
      <w:r w:rsidRPr="00181DF1">
        <w:rPr>
          <w:rFonts w:asciiTheme="majorBidi" w:hAnsiTheme="majorBidi" w:cstheme="majorBidi"/>
          <w:sz w:val="26"/>
          <w:szCs w:val="26"/>
          <w:lang w:val="bg-BG"/>
        </w:rPr>
        <w:t>предназначен</w:t>
      </w:r>
      <w:r w:rsidR="00D91E46" w:rsidRPr="00181DF1">
        <w:rPr>
          <w:rFonts w:asciiTheme="majorBidi" w:hAnsiTheme="majorBidi" w:cstheme="majorBidi"/>
          <w:sz w:val="26"/>
          <w:szCs w:val="26"/>
          <w:lang w:val="bg-BG"/>
        </w:rPr>
        <w:t>а</w:t>
      </w:r>
      <w:r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631668" w:rsidRPr="00181DF1">
        <w:rPr>
          <w:rFonts w:asciiTheme="majorBidi" w:hAnsiTheme="majorBidi" w:cstheme="majorBidi"/>
          <w:sz w:val="26"/>
          <w:szCs w:val="26"/>
          <w:lang w:val="bg-BG"/>
        </w:rPr>
        <w:t>за придобиване на  образователната и научна степен „доктор“.</w:t>
      </w:r>
    </w:p>
    <w:p w:rsidR="00580C3E" w:rsidRDefault="00580C3E" w:rsidP="00021C7D">
      <w:pPr>
        <w:overflowPunct/>
        <w:spacing w:before="120"/>
        <w:ind w:right="142" w:firstLine="1135"/>
        <w:jc w:val="both"/>
        <w:textAlignment w:val="auto"/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</w:pPr>
    </w:p>
    <w:p w:rsidR="00846E6B" w:rsidRPr="00181DF1" w:rsidRDefault="005C13B0" w:rsidP="00021C7D">
      <w:pPr>
        <w:overflowPunct/>
        <w:spacing w:before="120"/>
        <w:ind w:right="142" w:firstLine="1135"/>
        <w:jc w:val="both"/>
        <w:textAlignment w:val="auto"/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</w:pP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Изследването е в обем от 4</w:t>
      </w:r>
      <w:r w:rsidR="00EE5CA2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44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 xml:space="preserve"> страници. Включва: посвещение, благодарности, съдържание, съкращения и транскрипции, кратко резюме (стр.1-8)</w:t>
      </w:r>
      <w:r w:rsidR="00810850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;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 xml:space="preserve"> </w:t>
      </w:r>
      <w:r w:rsidR="00810850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в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 xml:space="preserve">ъвеждаща глава </w:t>
      </w:r>
      <w:r w:rsidR="00387496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и пет глави (стр.9-66; 67-134; 135-208; 209-280; 281-350; 351-420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)</w:t>
      </w:r>
      <w:r w:rsidR="00810850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;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 xml:space="preserve"> Заключение (стр. </w:t>
      </w:r>
      <w:r w:rsidR="00387496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421-428)</w:t>
      </w:r>
      <w:r w:rsidR="00810850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;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 xml:space="preserve"> Приложение с пр</w:t>
      </w:r>
      <w:r w:rsidR="002E6C1E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и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в</w:t>
      </w:r>
      <w:r w:rsidR="002E6C1E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е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дени на български език арабски извори (стр. 204-216)</w:t>
      </w:r>
      <w:r w:rsidR="00596F79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.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 xml:space="preserve"> </w:t>
      </w:r>
      <w:r w:rsidR="00596F79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О</w:t>
      </w:r>
      <w:r w:rsidR="00596F79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свен арабски</w:t>
      </w:r>
      <w:r w:rsidR="00596F79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,</w:t>
      </w:r>
      <w:r w:rsidR="00596F79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 xml:space="preserve"> </w:t>
      </w:r>
      <w:r w:rsidR="00596F79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б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иблиография</w:t>
      </w:r>
      <w:r w:rsidR="00EE5CA2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та (</w:t>
      </w:r>
      <w:r w:rsidR="00387496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стр.429-444</w:t>
      </w:r>
      <w:r w:rsidR="00EE5CA2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 xml:space="preserve">) съдържа разнообразни източници на латински, персийски, турски, </w:t>
      </w:r>
      <w:proofErr w:type="spellStart"/>
      <w:r w:rsidR="00EE5CA2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>иврид</w:t>
      </w:r>
      <w:proofErr w:type="spellEnd"/>
      <w:r w:rsidR="00EE5CA2"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 xml:space="preserve"> и на европейски езици.</w:t>
      </w:r>
      <w:r w:rsidRPr="00181DF1">
        <w:rPr>
          <w:rFonts w:asciiTheme="majorBidi" w:eastAsiaTheme="minorHAnsi" w:hAnsiTheme="majorBidi" w:cstheme="majorBidi"/>
          <w:color w:val="000000"/>
          <w:sz w:val="26"/>
          <w:szCs w:val="26"/>
          <w:lang w:val="bg-BG"/>
        </w:rPr>
        <w:t xml:space="preserve"> </w:t>
      </w:r>
    </w:p>
    <w:p w:rsidR="00A67EB3" w:rsidRPr="00181DF1" w:rsidRDefault="007013AC" w:rsidP="00021C7D">
      <w:pPr>
        <w:overflowPunct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</w:pP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Авторът си поставя за цел да </w:t>
      </w:r>
      <w:r w:rsidR="00596F79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представи 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„специализирано изследване, което изчерпателно </w:t>
      </w:r>
      <w:r w:rsidR="009B1EC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да 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документира нагласите и ролите на интелектуалните и религиозните елити в </w:t>
      </w:r>
      <w:proofErr w:type="spellStart"/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Леванта</w:t>
      </w:r>
      <w:proofErr w:type="spellEnd"/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спрямо династията на </w:t>
      </w:r>
      <w:proofErr w:type="spellStart"/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Аюбидите</w:t>
      </w:r>
      <w:proofErr w:type="spellEnd"/>
      <w:r w:rsidR="009A702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.“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(1174–1250 г. сл. Хр.). Тази цел е </w:t>
      </w:r>
      <w:r w:rsidR="009A702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постигната с </w:t>
      </w:r>
      <w:r w:rsidR="00596F79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грижливо и умело </w:t>
      </w:r>
      <w:r w:rsidR="00596F79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проуч</w:t>
      </w:r>
      <w:r w:rsidR="00596F79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ване на</w:t>
      </w:r>
      <w:r w:rsidR="00596F79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596F79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подходящите </w:t>
      </w:r>
      <w:r w:rsidR="00596F79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източници </w:t>
      </w:r>
      <w:r w:rsidR="00596F79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</w:t>
      </w:r>
      <w:r w:rsidR="009A702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596F79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успешно излагане на</w:t>
      </w:r>
      <w:r w:rsidR="009A702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една многостранна и сложна тема</w:t>
      </w:r>
      <w:r w:rsidR="00596F79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.</w:t>
      </w:r>
      <w:r w:rsidRPr="00181DF1">
        <w:rPr>
          <w:rFonts w:asciiTheme="majorBidi" w:hAnsiTheme="majorBidi" w:cstheme="majorBidi"/>
          <w:color w:val="FF0000"/>
          <w:sz w:val="26"/>
          <w:szCs w:val="26"/>
          <w:lang w:val="bg-BG" w:eastAsia="bg-BG"/>
        </w:rPr>
        <w:t xml:space="preserve"> </w:t>
      </w:r>
      <w:r w:rsidR="00810850" w:rsidRPr="00181DF1">
        <w:rPr>
          <w:rFonts w:asciiTheme="majorBidi" w:hAnsiTheme="majorBidi" w:cstheme="majorBidi"/>
          <w:sz w:val="26"/>
          <w:szCs w:val="26"/>
          <w:lang w:val="bg-BG" w:eastAsia="bg-BG"/>
        </w:rPr>
        <w:t>Прочитът</w:t>
      </w:r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на</w:t>
      </w:r>
      <w:r w:rsidR="00696CB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работата </w:t>
      </w:r>
      <w:r w:rsidR="00696CB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по</w:t>
      </w:r>
      <w:r w:rsidR="00AC7432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твърждава </w:t>
      </w:r>
      <w:r w:rsidR="009A702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направените </w:t>
      </w:r>
      <w:r w:rsidR="00AC7432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изводи 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за </w:t>
      </w:r>
      <w:proofErr w:type="spellStart"/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нарастналата</w:t>
      </w:r>
      <w:proofErr w:type="spellEnd"/>
      <w:r w:rsidR="002E6C1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,</w:t>
      </w:r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по силата на обстоятелствата</w:t>
      </w:r>
      <w:r w:rsidR="002E6C1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,</w:t>
      </w:r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696CB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роля 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на </w:t>
      </w:r>
      <w:proofErr w:type="spellStart"/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улеми</w:t>
      </w:r>
      <w:proofErr w:type="spellEnd"/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 интелектуалци </w:t>
      </w:r>
      <w:r w:rsidR="00696CB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в </w:t>
      </w:r>
      <w:r w:rsidR="00E145D4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политическия </w:t>
      </w:r>
      <w:r w:rsidR="00696CB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живо</w:t>
      </w:r>
      <w:r w:rsidR="00E145D4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т.</w:t>
      </w:r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Авторът я обосновава с тяхното духовно влияние и обществено положение, които 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в </w:t>
      </w:r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условията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на чуждо нашествие </w:t>
      </w:r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придобиват нови </w:t>
      </w:r>
      <w:r w:rsidR="00CF3A1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измерения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.</w:t>
      </w:r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proofErr w:type="spellStart"/>
      <w:r w:rsidR="009B1EC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Улеми</w:t>
      </w:r>
      <w:proofErr w:type="spellEnd"/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 </w:t>
      </w:r>
      <w:proofErr w:type="spellStart"/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факихи</w:t>
      </w:r>
      <w:proofErr w:type="spellEnd"/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съсредоточава</w:t>
      </w:r>
      <w:r w:rsidR="00CF3A1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</w:t>
      </w:r>
      <w:r w:rsidR="009B1EC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богословските и правни занимания към</w:t>
      </w:r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укрепване на </w:t>
      </w:r>
      <w:proofErr w:type="spellStart"/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суннитската</w:t>
      </w:r>
      <w:proofErr w:type="spellEnd"/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догматика след вековното господство на </w:t>
      </w:r>
      <w:r w:rsidR="00CF3A1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вече </w:t>
      </w:r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отстранените от </w:t>
      </w:r>
      <w:proofErr w:type="spellStart"/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Аюбидите</w:t>
      </w:r>
      <w:proofErr w:type="spellEnd"/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шиити </w:t>
      </w:r>
      <w:proofErr w:type="spellStart"/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Фатимиди</w:t>
      </w:r>
      <w:proofErr w:type="spellEnd"/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.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E145D4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Те чувстват</w:t>
      </w:r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задължение</w:t>
      </w:r>
      <w:r w:rsidR="002E6C1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то </w:t>
      </w:r>
      <w:r w:rsidR="00810850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дейно да се включат </w:t>
      </w:r>
      <w:r w:rsidR="007011E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</w:t>
      </w:r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борбата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срещу кръстоносците, като </w:t>
      </w:r>
      <w:r w:rsidR="00CF3A1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идейно и материално 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подпомага</w:t>
      </w:r>
      <w:r w:rsidR="007011E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C5465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</w:t>
      </w:r>
      <w:r w:rsidR="00E145D4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ъоръжената съпротива 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срещу тях. </w:t>
      </w:r>
      <w:r w:rsidR="008B74B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Г-н </w:t>
      </w:r>
      <w:proofErr w:type="spellStart"/>
      <w:r w:rsidR="008B74B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Алмалки</w:t>
      </w:r>
      <w:proofErr w:type="spellEnd"/>
      <w:r w:rsidR="008B74B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правилно посочва, че п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реодоляването </w:t>
      </w:r>
      <w:r w:rsidR="002E6C1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на </w:t>
      </w:r>
      <w:proofErr w:type="spellStart"/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фатимидското</w:t>
      </w:r>
      <w:proofErr w:type="spellEnd"/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наследство и 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отпорът срещу застрашителното 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кръстоносно присъствие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става с цената на 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усилия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напрежение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, които 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рязко влошава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обстановката 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 Близ</w:t>
      </w:r>
      <w:r w:rsidR="00596F79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кия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изток</w:t>
      </w:r>
      <w:r w:rsidR="00CF3A1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с всички трагични последствия за неговите обитатели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- коренни</w:t>
      </w:r>
      <w:r w:rsidR="007011E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 </w:t>
      </w:r>
      <w:r w:rsidR="00CF3A1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пришълци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. </w:t>
      </w:r>
      <w:r w:rsidR="007011E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Бедствието 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улеснява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разп</w:t>
      </w:r>
      <w:r w:rsidR="007011E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р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остран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ението на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833C5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организирани, </w:t>
      </w:r>
      <w:proofErr w:type="spellStart"/>
      <w:r w:rsidR="00833C5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индоктринирани</w:t>
      </w:r>
      <w:proofErr w:type="spellEnd"/>
      <w:r w:rsidR="00833C5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 оглавени от шиитски секти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AD61E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въоръжени опозиционни движения 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С</w:t>
      </w:r>
      <w:r w:rsidR="00596F79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ред 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е 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на </w:t>
      </w:r>
      <w:proofErr w:type="spellStart"/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исмаилити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те</w:t>
      </w:r>
      <w:proofErr w:type="spellEnd"/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proofErr w:type="spellStart"/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хашашини</w:t>
      </w:r>
      <w:proofErr w:type="spellEnd"/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, което</w:t>
      </w:r>
      <w:r w:rsidR="007011E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се опълчва срещу </w:t>
      </w:r>
      <w:r w:rsidR="00CF3A1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всички 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владетели</w:t>
      </w:r>
      <w:r w:rsidR="00CF3A1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мюсюлмани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CF3A1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 християни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 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встъпва</w:t>
      </w:r>
      <w:r w:rsidR="007011E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4D301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 унищожителен сблъсък</w:t>
      </w:r>
      <w:r w:rsidR="007011E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с тях.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</w:p>
    <w:p w:rsidR="00A67EB3" w:rsidRPr="00181DF1" w:rsidRDefault="007011E5" w:rsidP="00021C7D">
      <w:pPr>
        <w:overflowPunct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</w:pP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lastRenderedPageBreak/>
        <w:t>Д</w:t>
      </w:r>
      <w:r w:rsidR="007F71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исертантът 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успешно </w:t>
      </w:r>
      <w:r w:rsidR="00846E6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пр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оследява </w:t>
      </w:r>
      <w:r w:rsidR="00833C5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в една напрегната епоха 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дейността, поведението и трудовете на духовн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ия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 интелектуал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ен елит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. 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С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ред неговите представители </w:t>
      </w:r>
      <w:r w:rsidR="00833C5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според взаимоотношения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та им</w:t>
      </w:r>
      <w:r w:rsidR="00833C5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с династията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т</w:t>
      </w:r>
      <w:r w:rsidR="00833C5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ой разграничава </w:t>
      </w:r>
      <w:r w:rsidR="00AC7432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три основни категории.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Първата включва лоялни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те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към </w:t>
      </w:r>
      <w:r w:rsidR="00BA3BF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нея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. Те заемат отговорни длъжности и с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близ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ост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та си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до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владетели</w:t>
      </w:r>
      <w:r w:rsidR="00BA3BF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 велможи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им осигурява</w:t>
      </w:r>
      <w:r w:rsidR="00F607D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всестранна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подкрепа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на техните действия.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Втората включва въздържа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щите се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от длъжности и 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риемане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на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възложени от владетелите </w:t>
      </w:r>
      <w:proofErr w:type="spellStart"/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задачи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.Т</w:t>
      </w:r>
      <w:r w:rsidR="00F607D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е</w:t>
      </w:r>
      <w:proofErr w:type="spellEnd"/>
      <w:r w:rsidR="00F607D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предпочитат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своите </w:t>
      </w:r>
      <w:r w:rsidR="00F607D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теологически занимания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като 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подпомагат изучаващите ги 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и предприемат 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благотворителни начинания. Г</w:t>
      </w:r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-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 </w:t>
      </w:r>
      <w:proofErr w:type="spellStart"/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Алмасри</w:t>
      </w:r>
      <w:proofErr w:type="spellEnd"/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определя т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ретата група</w:t>
      </w:r>
      <w:r w:rsidR="00E0796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, като </w:t>
      </w:r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„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бунтовни учени, които са работили за подбуждане и мобилизиране на общественото мнение срещу владетелите</w:t>
      </w:r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proofErr w:type="spellStart"/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Аю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биди</w:t>
      </w:r>
      <w:proofErr w:type="spellEnd"/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“ с доводи, че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потискат народа</w:t>
      </w:r>
      <w:r w:rsidR="002E6C1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,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наред с обвиненията, че се договарят с Франките следвайки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собствени</w:t>
      </w:r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те си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интереси.</w:t>
      </w:r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(стр.8)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.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Той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E2593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основателно 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подчертава, че</w:t>
      </w:r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те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не застрашават 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техния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режим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и 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„</w:t>
      </w:r>
      <w:r w:rsidR="000B16D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не образуват никакви революции срещу техния трон</w:t>
      </w:r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“, 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като 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също </w:t>
      </w:r>
      <w:r w:rsidR="0008017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привежда</w:t>
      </w:r>
      <w:r w:rsidR="00FC51E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сведения за осуетени заговори и наложени наказания на участниците. 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Но неговото з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аключение съдържа изисквания 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 оценки за тази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върхушка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, пренебрегва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щи 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столетията, които ни делят от условията</w:t>
      </w:r>
      <w:r w:rsidR="002E6C1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,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в които тя действа.</w:t>
      </w:r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„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Нагласите и ролите на интелектуалните елити и религиозните лидери и препратките към режима на </w:t>
      </w:r>
      <w:proofErr w:type="spellStart"/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Аюбидите</w:t>
      </w:r>
      <w:proofErr w:type="spellEnd"/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в </w:t>
      </w:r>
      <w:proofErr w:type="spellStart"/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Леванта</w:t>
      </w:r>
      <w:proofErr w:type="spellEnd"/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бяха двусмислени и различни, тъй като някои подкрепяха режима</w:t>
      </w:r>
      <w:r w:rsidR="002E6C1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,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докато други се противопоставиха.</w:t>
      </w:r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“(стр.32) 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</w:t>
      </w:r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ака те не 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успя</w:t>
      </w:r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ват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да се обединят </w:t>
      </w:r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(</w:t>
      </w:r>
      <w:proofErr w:type="spellStart"/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fr-FR" w:eastAsia="bg-BG"/>
        </w:rPr>
        <w:t>under</w:t>
      </w:r>
      <w:proofErr w:type="spellEnd"/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fr-FR" w:eastAsia="bg-BG"/>
        </w:rPr>
        <w:t>one</w:t>
      </w:r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proofErr w:type="spellStart"/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fr-FR" w:eastAsia="bg-BG"/>
        </w:rPr>
        <w:t>umbrella</w:t>
      </w:r>
      <w:proofErr w:type="spellEnd"/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!?)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, за да постигнат стратегическа историческа промяна и в политиката на режима за гражданите. </w:t>
      </w:r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Упрекът е</w:t>
      </w:r>
      <w:r w:rsidR="002E6C1E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,</w:t>
      </w:r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че поради липсата на единство те: „</w:t>
      </w:r>
      <w:r w:rsidR="00A67EB3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не успяха да постигнат решителна победа срещу управляващите, за да ги принуди да се откажат от някои от своите сили и вярвания в полза на просветените вярвания от периода</w:t>
      </w:r>
      <w:r w:rsidR="0045331D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.“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Добре е дисертантът да ги посочи.</w:t>
      </w:r>
    </w:p>
    <w:p w:rsidR="00181DF1" w:rsidRDefault="003E7B78" w:rsidP="00021C7D">
      <w:pPr>
        <w:overflowPunct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</w:pP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Изследването обхваща обществено-политическа и духовна обстановка, в която присъствието на чужда сила води до постоянни</w:t>
      </w:r>
      <w:r w:rsidR="007F013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и необичайни дотогава </w:t>
      </w:r>
      <w:r w:rsidR="00BA3BF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промен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и. 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остав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еният от 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ях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отпечатък върху</w:t>
      </w:r>
      <w:r w:rsidR="007F013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отношенията 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</w:t>
      </w:r>
      <w:r w:rsidR="007F013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ладетели 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– </w:t>
      </w:r>
      <w:proofErr w:type="spellStart"/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улеми</w:t>
      </w:r>
      <w:proofErr w:type="spellEnd"/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е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подробно и вещо </w:t>
      </w:r>
      <w:r w:rsidR="00BA3BF7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разкрит</w:t>
      </w:r>
      <w:r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, но 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 изложение</w:t>
      </w:r>
      <w:r w:rsidR="007B3DB9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то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са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6D43E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налице 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често повтарящи се </w:t>
      </w:r>
      <w:r w:rsidR="008F58B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поотделно или заедно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833C5D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сходни 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обяснения</w:t>
      </w:r>
      <w:r w:rsidR="008F58B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.</w:t>
      </w:r>
      <w:r w:rsidR="00EC67A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Получ</w:t>
      </w:r>
      <w:r w:rsidR="007B3DB9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ава се</w:t>
      </w:r>
      <w:r w:rsidR="008F58B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размиване</w:t>
      </w:r>
      <w:r w:rsidR="007B3DB9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, което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EC67A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за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мъглява</w:t>
      </w:r>
      <w:r w:rsidR="00EC67A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7F013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поглед</w:t>
      </w:r>
      <w:r w:rsidR="007B3DB9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</w:t>
      </w:r>
      <w:r w:rsidR="007F013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върху</w:t>
      </w:r>
      <w:r w:rsidR="007B3DB9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историческия процес в</w:t>
      </w:r>
      <w:r w:rsidR="007F013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AD26A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Близкия изток като</w:t>
      </w:r>
      <w:r w:rsidR="00EC67AA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фон на свързаните с темата събития. </w:t>
      </w:r>
      <w:r w:rsidR="004C775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Необходимо беше </w:t>
      </w:r>
      <w:r w:rsidR="00AD26A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читателят да се</w:t>
      </w:r>
      <w:r w:rsidR="008F58B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запозна</w:t>
      </w:r>
      <w:r w:rsidR="00AD26A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е</w:t>
      </w:r>
      <w:r w:rsidR="008F58B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с владетелите, събитията и процесите </w:t>
      </w:r>
      <w:r w:rsidR="00AD26A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през тази епоха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, като се</w:t>
      </w:r>
      <w:r w:rsidR="008F58B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очертаят разклонения</w:t>
      </w:r>
      <w:r w:rsidR="008B74B6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та</w:t>
      </w:r>
      <w:r w:rsidR="00AD26AB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на династията: главният клон в </w:t>
      </w:r>
      <w:r w:rsidR="008F58B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Египет (1169-1252</w:t>
      </w:r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), отстранен от </w:t>
      </w:r>
      <w:proofErr w:type="spellStart"/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мамелюците</w:t>
      </w:r>
      <w:proofErr w:type="spellEnd"/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 клоновете в Сирия</w:t>
      </w:r>
      <w:r w:rsidR="008F58B8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(</w:t>
      </w:r>
      <w:proofErr w:type="spellStart"/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осн</w:t>
      </w:r>
      <w:proofErr w:type="spellEnd"/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. 1186), </w:t>
      </w:r>
      <w:proofErr w:type="spellStart"/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Алепо</w:t>
      </w:r>
      <w:proofErr w:type="spellEnd"/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(осн.1183) и Диарбекир (осн.1185) всички разгромени от </w:t>
      </w:r>
      <w:proofErr w:type="spellStart"/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монголите</w:t>
      </w:r>
      <w:proofErr w:type="spellEnd"/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през </w:t>
      </w:r>
      <w:r w:rsidR="007D21D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Неговата липса води вместо до </w:t>
      </w:r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1260 г.</w:t>
      </w:r>
      <w:r w:rsid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Не ясно защо дисертантът сочи 1250 г. като край на династията.</w:t>
      </w:r>
      <w:r w:rsidR="007C76B5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</w:p>
    <w:p w:rsidR="00145F08" w:rsidRPr="00181DF1" w:rsidRDefault="00181DF1" w:rsidP="00021C7D">
      <w:pPr>
        <w:overflowPunct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</w:pPr>
      <w:r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С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ъдба</w:t>
      </w:r>
      <w:r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та на тези владения в значителна степен е </w:t>
      </w:r>
      <w:r w:rsidR="00DC5232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предопредел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ена от </w:t>
      </w:r>
      <w:r w:rsidR="00DC5232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решение</w:t>
      </w:r>
      <w:r w:rsidR="00FD510B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, което е 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изведено под черта чак на стр.140: „Преди смъртта си султан </w:t>
      </w:r>
      <w:proofErr w:type="spellStart"/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Салах</w:t>
      </w:r>
      <w:proofErr w:type="spellEnd"/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ал-Дин ал-</w:t>
      </w:r>
      <w:proofErr w:type="spellStart"/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Аюби</w:t>
      </w:r>
      <w:proofErr w:type="spellEnd"/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разделил имуществото на своята държава между своите наследници. Той даде на синовете си и братята си най-важните области, включително Йерусалим като стратегия за защитата му.“ Те обаче отдават предпочитание на собствените си интереси и дори сключват съюзи с кръстоносците. Авторът допълва, че единството на държавата се разпада и тя рухва поради войната за наследяване между синовете, които заговорничат един срещу друг. „Това беше ценна възможност за кръстоносците да постигнат лесни 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lastRenderedPageBreak/>
        <w:t xml:space="preserve">облаги и придобивки, които не бяха в състояние да постигнат по време на периода на единство и сила, характеризиращ държавата на </w:t>
      </w:r>
      <w:proofErr w:type="spellStart"/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Аюбидите</w:t>
      </w:r>
      <w:proofErr w:type="spellEnd"/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по времето на нейния основател.“(стр.138), наред със сходни разсъждения по този значителен въпрос. Така </w:t>
      </w:r>
      <w:r w:rsidR="007D21D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вместо до „нанизване“ на 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произхождащите от това решение </w:t>
      </w:r>
      <w:r w:rsidR="007D21D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важни събит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</w:t>
      </w:r>
      <w:r w:rsidR="007D21D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я, 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те са</w:t>
      </w:r>
      <w:r w:rsidR="007D21D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„разхвърлян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и</w:t>
      </w:r>
      <w:r w:rsidR="007D21D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“ по цялото изложение.</w:t>
      </w:r>
      <w:r w:rsidR="00DC5232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Погледът върху политическото организиране на кръстоносците в Близкия изток е заменен от</w:t>
      </w:r>
      <w:r w:rsidR="00C00C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бегло споменаване на </w:t>
      </w:r>
      <w:r w:rsidR="00C00C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последствия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та</w:t>
      </w:r>
      <w:r w:rsidR="00C00C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от 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тяхното </w:t>
      </w:r>
      <w:r w:rsidR="00C00C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настаняването в „</w:t>
      </w:r>
      <w:proofErr w:type="spellStart"/>
      <w:r w:rsidR="00C00C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Леванта</w:t>
      </w:r>
      <w:proofErr w:type="spellEnd"/>
      <w:r w:rsidR="00C00C8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 Месопотамия“</w:t>
      </w:r>
      <w:r w:rsidR="00466D6F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и то като причина за разцвета на поезията във възхвала на Пророка.</w:t>
      </w:r>
      <w:r w:rsidR="00EB2A21" w:rsidRPr="00181DF1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(стр. 227)</w:t>
      </w:r>
      <w:r w:rsidR="00CA274A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. Този пропуск е </w:t>
      </w:r>
      <w:proofErr w:type="spellStart"/>
      <w:r w:rsidR="00CA274A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възместен</w:t>
      </w:r>
      <w:proofErr w:type="spellEnd"/>
      <w:r w:rsidR="00CA274A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от представените свидетелства и описания на християнските автори</w:t>
      </w:r>
      <w:r w:rsidR="00CA274A" w:rsidRPr="00CA274A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 </w:t>
      </w:r>
      <w:r w:rsidR="00CA274A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 xml:space="preserve">за епохата, което е достойнство на </w:t>
      </w:r>
      <w:proofErr w:type="spellStart"/>
      <w:r w:rsidR="00CA274A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диселтацията</w:t>
      </w:r>
      <w:proofErr w:type="spellEnd"/>
      <w:r w:rsidR="00CA274A">
        <w:rPr>
          <w:rFonts w:asciiTheme="majorBidi" w:hAnsiTheme="majorBidi" w:cstheme="majorBidi"/>
          <w:color w:val="202124"/>
          <w:sz w:val="26"/>
          <w:szCs w:val="26"/>
          <w:lang w:val="bg-BG" w:eastAsia="bg-BG"/>
        </w:rPr>
        <w:t>.</w:t>
      </w:r>
    </w:p>
    <w:p w:rsidR="00E25931" w:rsidRPr="00181DF1" w:rsidRDefault="00466D6F" w:rsidP="00021C7D">
      <w:pPr>
        <w:overflowPunct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sz w:val="26"/>
          <w:szCs w:val="26"/>
          <w:lang w:val="bg-BG" w:eastAsia="bg-BG"/>
        </w:rPr>
      </w:pP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>Начинът на и</w:t>
      </w:r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>зложение озадачава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българския 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>читател</w:t>
      </w:r>
      <w:r w:rsidR="00E25931" w:rsidRPr="00181DF1">
        <w:rPr>
          <w:rFonts w:asciiTheme="majorBidi" w:hAnsiTheme="majorBidi" w:cstheme="majorBidi"/>
          <w:sz w:val="26"/>
          <w:szCs w:val="26"/>
          <w:lang w:val="bg-BG" w:eastAsia="bg-BG"/>
        </w:rPr>
        <w:t>. П</w:t>
      </w:r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оведението на една и съща личност се проследява в различни обстановки, за всеки </w:t>
      </w:r>
      <w:proofErr w:type="spellStart"/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>нейн</w:t>
      </w:r>
      <w:proofErr w:type="spellEnd"/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жест се привеждат преплитащи се свидетелства</w:t>
      </w:r>
      <w:r w:rsidR="00E25931" w:rsidRPr="00181DF1">
        <w:rPr>
          <w:rFonts w:asciiTheme="majorBidi" w:hAnsiTheme="majorBidi" w:cstheme="majorBidi"/>
          <w:sz w:val="26"/>
          <w:szCs w:val="26"/>
          <w:lang w:val="bg-BG" w:eastAsia="bg-BG"/>
        </w:rPr>
        <w:t>, като</w:t>
      </w:r>
      <w:r w:rsidR="004A370A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многократно </w:t>
      </w:r>
      <w:r w:rsidR="00E25931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се </w:t>
      </w:r>
      <w:r w:rsidR="004A370A" w:rsidRPr="00181DF1">
        <w:rPr>
          <w:rFonts w:asciiTheme="majorBidi" w:hAnsiTheme="majorBidi" w:cstheme="majorBidi"/>
          <w:sz w:val="26"/>
          <w:szCs w:val="26"/>
          <w:lang w:val="bg-BG" w:eastAsia="bg-BG"/>
        </w:rPr>
        <w:t>посочва</w:t>
      </w:r>
      <w:r w:rsidR="00E25931" w:rsidRPr="00181DF1">
        <w:rPr>
          <w:rFonts w:asciiTheme="majorBidi" w:hAnsiTheme="majorBidi" w:cstheme="majorBidi"/>
          <w:sz w:val="26"/>
          <w:szCs w:val="26"/>
          <w:lang w:val="bg-BG" w:eastAsia="bg-BG"/>
        </w:rPr>
        <w:t>т</w:t>
      </w:r>
      <w:r w:rsidR="004A370A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>автори</w:t>
      </w:r>
      <w:r w:rsidR="004A370A" w:rsidRPr="00181DF1">
        <w:rPr>
          <w:rFonts w:asciiTheme="majorBidi" w:hAnsiTheme="majorBidi" w:cstheme="majorBidi"/>
          <w:sz w:val="26"/>
          <w:szCs w:val="26"/>
          <w:lang w:val="bg-BG" w:eastAsia="bg-BG"/>
        </w:rPr>
        <w:t>те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и </w:t>
      </w:r>
      <w:r w:rsidR="00D419F1" w:rsidRPr="00181DF1">
        <w:rPr>
          <w:rFonts w:asciiTheme="majorBidi" w:hAnsiTheme="majorBidi" w:cstheme="majorBidi"/>
          <w:sz w:val="26"/>
          <w:szCs w:val="26"/>
          <w:lang w:val="bg-BG" w:eastAsia="bg-BG"/>
        </w:rPr>
        <w:t>съответните техни трудове.</w:t>
      </w:r>
      <w:r w:rsidR="004A370A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>Ч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есто за даден израз </w:t>
      </w:r>
      <w:r w:rsidR="008B74B6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се дават </w:t>
      </w:r>
      <w:r w:rsidR="007B040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под черта </w:t>
      </w:r>
      <w:r w:rsidR="008B74B6" w:rsidRPr="00181DF1">
        <w:rPr>
          <w:rFonts w:asciiTheme="majorBidi" w:hAnsiTheme="majorBidi" w:cstheme="majorBidi"/>
          <w:sz w:val="26"/>
          <w:szCs w:val="26"/>
          <w:lang w:val="bg-BG" w:eastAsia="bg-BG"/>
        </w:rPr>
        <w:t>разяснения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>, които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няколкократно превишават 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>негов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ото 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>основн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>о значение.</w:t>
      </w:r>
      <w:r w:rsidR="004A370A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(</w:t>
      </w:r>
      <w:r w:rsidR="00C00C81" w:rsidRPr="00181DF1">
        <w:rPr>
          <w:rFonts w:asciiTheme="majorBidi" w:hAnsiTheme="majorBidi" w:cstheme="majorBidi"/>
          <w:sz w:val="26"/>
          <w:szCs w:val="26"/>
          <w:lang w:val="bg-BG" w:eastAsia="bg-BG"/>
        </w:rPr>
        <w:t>напр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. </w:t>
      </w:r>
      <w:r w:rsidR="00C00C81" w:rsidRPr="00181DF1">
        <w:rPr>
          <w:rFonts w:asciiTheme="majorBidi" w:hAnsiTheme="majorBidi" w:cstheme="majorBidi"/>
          <w:sz w:val="26"/>
          <w:szCs w:val="26"/>
          <w:lang w:val="bg-BG" w:eastAsia="bg-BG"/>
        </w:rPr>
        <w:t>стр. 256-257</w:t>
      </w:r>
      <w:r w:rsidR="00D419F1" w:rsidRPr="00181DF1">
        <w:rPr>
          <w:rFonts w:asciiTheme="majorBidi" w:hAnsiTheme="majorBidi" w:cstheme="majorBidi"/>
          <w:sz w:val="26"/>
          <w:szCs w:val="26"/>
          <w:lang w:val="bg-BG" w:eastAsia="bg-BG"/>
        </w:rPr>
        <w:t>)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>С</w:t>
      </w:r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>ледва</w:t>
      </w:r>
      <w:r w:rsidR="00E25931" w:rsidRPr="00181DF1">
        <w:rPr>
          <w:rFonts w:asciiTheme="majorBidi" w:hAnsiTheme="majorBidi" w:cstheme="majorBidi"/>
          <w:sz w:val="26"/>
          <w:szCs w:val="26"/>
          <w:lang w:val="bg-BG" w:eastAsia="bg-BG"/>
        </w:rPr>
        <w:t>нето им довежда до</w:t>
      </w:r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навлиза</w:t>
      </w:r>
      <w:r w:rsidR="00E25931" w:rsidRPr="00181DF1">
        <w:rPr>
          <w:rFonts w:asciiTheme="majorBidi" w:hAnsiTheme="majorBidi" w:cstheme="majorBidi"/>
          <w:sz w:val="26"/>
          <w:szCs w:val="26"/>
          <w:lang w:val="bg-BG" w:eastAsia="bg-BG"/>
        </w:rPr>
        <w:t>не</w:t>
      </w:r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в 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>русло</w:t>
      </w:r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>, ко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>е</w:t>
      </w:r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то отвежда </w:t>
      </w:r>
      <w:r w:rsidR="00E25931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читателя </w:t>
      </w:r>
      <w:r w:rsidR="00385B9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към друга 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>тема и той забравя за какво става дума.</w:t>
      </w:r>
      <w:r w:rsidR="00991777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="006B0F8C" w:rsidRPr="00181DF1">
        <w:rPr>
          <w:rFonts w:asciiTheme="majorBidi" w:hAnsiTheme="majorBidi" w:cstheme="majorBidi"/>
          <w:sz w:val="26"/>
          <w:szCs w:val="26"/>
          <w:lang w:val="bg-BG" w:eastAsia="bg-BG"/>
        </w:rPr>
        <w:t>Тези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особености се разминават с </w:t>
      </w:r>
      <w:r w:rsidR="006B0F8C" w:rsidRPr="00181DF1">
        <w:rPr>
          <w:rFonts w:asciiTheme="majorBidi" w:hAnsiTheme="majorBidi" w:cstheme="majorBidi"/>
          <w:sz w:val="26"/>
          <w:szCs w:val="26"/>
          <w:lang w:val="bg-BG" w:eastAsia="bg-BG"/>
        </w:rPr>
        <w:t>възприети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>те</w:t>
      </w:r>
      <w:r w:rsidR="006B0F8C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у нас</w:t>
      </w:r>
      <w:r w:rsidR="00C843C1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="006B0F8C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изисквания към </w:t>
      </w:r>
      <w:r w:rsidR="007A6C14" w:rsidRPr="00181DF1">
        <w:rPr>
          <w:rFonts w:asciiTheme="majorBidi" w:hAnsiTheme="majorBidi" w:cstheme="majorBidi"/>
          <w:sz w:val="26"/>
          <w:szCs w:val="26"/>
          <w:lang w:val="bg-BG" w:eastAsia="bg-BG"/>
        </w:rPr>
        <w:t>постройка</w:t>
      </w:r>
      <w:r w:rsidR="006B0F8C" w:rsidRPr="00181DF1">
        <w:rPr>
          <w:rFonts w:asciiTheme="majorBidi" w:hAnsiTheme="majorBidi" w:cstheme="majorBidi"/>
          <w:sz w:val="26"/>
          <w:szCs w:val="26"/>
          <w:lang w:val="bg-BG" w:eastAsia="bg-BG"/>
        </w:rPr>
        <w:t>та на подобен</w:t>
      </w:r>
      <w:r w:rsidR="007A6C14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труд. </w:t>
      </w:r>
    </w:p>
    <w:p w:rsidR="00E25931" w:rsidRPr="00181DF1" w:rsidRDefault="006B0F8C" w:rsidP="00021C7D">
      <w:pPr>
        <w:overflowPunct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sz w:val="26"/>
          <w:szCs w:val="26"/>
          <w:lang w:val="bg-BG" w:eastAsia="bg-BG"/>
        </w:rPr>
      </w:pP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>Дисерта</w:t>
      </w:r>
      <w:r w:rsidR="00181DF1" w:rsidRPr="00181DF1">
        <w:rPr>
          <w:rFonts w:asciiTheme="majorBidi" w:hAnsiTheme="majorBidi" w:cstheme="majorBidi"/>
          <w:sz w:val="26"/>
          <w:szCs w:val="26"/>
          <w:lang w:val="bg-BG" w:eastAsia="bg-BG"/>
        </w:rPr>
        <w:t>цията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="00246F82">
        <w:rPr>
          <w:rFonts w:asciiTheme="majorBidi" w:hAnsiTheme="majorBidi" w:cstheme="majorBidi"/>
          <w:sz w:val="26"/>
          <w:szCs w:val="26"/>
          <w:lang w:val="bg-BG" w:eastAsia="bg-BG"/>
        </w:rPr>
        <w:t xml:space="preserve">привежда, както е </w:t>
      </w:r>
      <w:r w:rsidR="0045224E">
        <w:rPr>
          <w:rFonts w:asciiTheme="majorBidi" w:hAnsiTheme="majorBidi" w:cstheme="majorBidi"/>
          <w:sz w:val="26"/>
          <w:szCs w:val="26"/>
          <w:lang w:val="bg-BG" w:eastAsia="bg-BG"/>
        </w:rPr>
        <w:t>описана от нейните съвременници,</w:t>
      </w:r>
      <w:r w:rsidR="0045224E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пряка, </w:t>
      </w:r>
      <w:r w:rsidR="007A6C14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задълбочена и обхватна картина 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>н</w:t>
      </w:r>
      <w:r w:rsidR="007A6C14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а </w:t>
      </w:r>
      <w:proofErr w:type="spellStart"/>
      <w:r w:rsidR="007A6C14" w:rsidRPr="00181DF1">
        <w:rPr>
          <w:rFonts w:asciiTheme="majorBidi" w:hAnsiTheme="majorBidi" w:cstheme="majorBidi"/>
          <w:sz w:val="26"/>
          <w:szCs w:val="26"/>
          <w:lang w:val="bg-BG" w:eastAsia="bg-BG"/>
        </w:rPr>
        <w:t>общественополитическото</w:t>
      </w:r>
      <w:proofErr w:type="spellEnd"/>
      <w:r w:rsidR="007A6C14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и духовно състояние на Близкия изток в една драматична епоха. 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Читателят не само се запознава, но и буквално се „пренася“ в нея по 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>начин</w:t>
      </w:r>
      <w:r w:rsidR="00246F82">
        <w:rPr>
          <w:rFonts w:asciiTheme="majorBidi" w:hAnsiTheme="majorBidi" w:cstheme="majorBidi"/>
          <w:sz w:val="26"/>
          <w:szCs w:val="26"/>
          <w:lang w:val="bg-BG" w:eastAsia="bg-BG"/>
        </w:rPr>
        <w:t>,</w:t>
      </w: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постижим от </w:t>
      </w:r>
      <w:r w:rsidR="00246F82">
        <w:rPr>
          <w:rFonts w:asciiTheme="majorBidi" w:hAnsiTheme="majorBidi" w:cstheme="majorBidi"/>
          <w:sz w:val="26"/>
          <w:szCs w:val="26"/>
          <w:lang w:val="bg-BG" w:eastAsia="bg-BG"/>
        </w:rPr>
        <w:t>автор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 xml:space="preserve">, </w:t>
      </w:r>
      <w:r w:rsidR="00246F82">
        <w:rPr>
          <w:rFonts w:asciiTheme="majorBidi" w:hAnsiTheme="majorBidi" w:cstheme="majorBidi"/>
          <w:sz w:val="26"/>
          <w:szCs w:val="26"/>
          <w:lang w:val="bg-BG" w:eastAsia="bg-BG"/>
        </w:rPr>
        <w:t xml:space="preserve">способен да 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 xml:space="preserve">прилага </w:t>
      </w:r>
      <w:r w:rsidR="002274D9" w:rsidRPr="00181DF1">
        <w:rPr>
          <w:rFonts w:asciiTheme="majorBidi" w:hAnsiTheme="majorBidi" w:cstheme="majorBidi"/>
          <w:sz w:val="26"/>
          <w:szCs w:val="26"/>
          <w:lang w:val="bg-BG" w:eastAsia="bg-BG"/>
        </w:rPr>
        <w:t>присъщи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>те</w:t>
      </w:r>
      <w:r w:rsidR="002274D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на </w:t>
      </w:r>
      <w:proofErr w:type="spellStart"/>
      <w:r w:rsidR="002274D9" w:rsidRPr="00181DF1">
        <w:rPr>
          <w:rFonts w:asciiTheme="majorBidi" w:hAnsiTheme="majorBidi" w:cstheme="majorBidi"/>
          <w:sz w:val="26"/>
          <w:szCs w:val="26"/>
          <w:lang w:val="bg-BG" w:eastAsia="bg-BG"/>
        </w:rPr>
        <w:t>арабо</w:t>
      </w:r>
      <w:proofErr w:type="spellEnd"/>
      <w:r w:rsidR="002274D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-мюсюлманската историография подходи, </w:t>
      </w:r>
      <w:r w:rsidR="007A6C14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похвати </w:t>
      </w:r>
      <w:r w:rsidR="00D419F1" w:rsidRPr="00181DF1">
        <w:rPr>
          <w:rFonts w:asciiTheme="majorBidi" w:hAnsiTheme="majorBidi" w:cstheme="majorBidi"/>
          <w:sz w:val="26"/>
          <w:szCs w:val="26"/>
          <w:lang w:val="bg-BG" w:eastAsia="bg-BG"/>
        </w:rPr>
        <w:t>и средства</w:t>
      </w:r>
      <w:r w:rsidR="002274D9" w:rsidRPr="00181DF1">
        <w:rPr>
          <w:rFonts w:asciiTheme="majorBidi" w:hAnsiTheme="majorBidi" w:cstheme="majorBidi"/>
          <w:sz w:val="26"/>
          <w:szCs w:val="26"/>
          <w:lang w:val="bg-BG" w:eastAsia="bg-BG"/>
        </w:rPr>
        <w:t>.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 xml:space="preserve"> С</w:t>
      </w:r>
      <w:r w:rsidR="007A6C14" w:rsidRPr="00181DF1">
        <w:rPr>
          <w:rFonts w:asciiTheme="majorBidi" w:hAnsiTheme="majorBidi" w:cstheme="majorBidi"/>
          <w:sz w:val="26"/>
          <w:szCs w:val="26"/>
          <w:lang w:val="bg-BG" w:eastAsia="bg-BG"/>
        </w:rPr>
        <w:t>ъчета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>на</w:t>
      </w:r>
      <w:r w:rsidR="002274D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с</w:t>
      </w:r>
      <w:r w:rsidR="00E57722">
        <w:rPr>
          <w:rFonts w:asciiTheme="majorBidi" w:hAnsiTheme="majorBidi" w:cstheme="majorBidi"/>
          <w:sz w:val="26"/>
          <w:szCs w:val="26"/>
          <w:lang w:val="bg-BG" w:eastAsia="bg-BG"/>
        </w:rPr>
        <w:t xml:space="preserve">ъс съвременния </w:t>
      </w:r>
      <w:proofErr w:type="spellStart"/>
      <w:r w:rsidR="00E57722">
        <w:rPr>
          <w:rFonts w:asciiTheme="majorBidi" w:hAnsiTheme="majorBidi" w:cstheme="majorBidi"/>
          <w:sz w:val="26"/>
          <w:szCs w:val="26"/>
          <w:lang w:val="bg-BG" w:eastAsia="bg-BG"/>
        </w:rPr>
        <w:t>изтоковедчески</w:t>
      </w:r>
      <w:proofErr w:type="spellEnd"/>
      <w:r w:rsidR="00E57722">
        <w:rPr>
          <w:rFonts w:asciiTheme="majorBidi" w:hAnsiTheme="majorBidi" w:cstheme="majorBidi"/>
          <w:sz w:val="26"/>
          <w:szCs w:val="26"/>
          <w:lang w:val="bg-BG" w:eastAsia="bg-BG"/>
        </w:rPr>
        <w:t xml:space="preserve"> поглед 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 xml:space="preserve">тази </w:t>
      </w:r>
      <w:r w:rsidR="007B0409" w:rsidRPr="00181DF1">
        <w:rPr>
          <w:rFonts w:asciiTheme="majorBidi" w:hAnsiTheme="majorBidi" w:cstheme="majorBidi"/>
          <w:sz w:val="26"/>
          <w:szCs w:val="26"/>
          <w:lang w:val="bg-BG" w:eastAsia="bg-BG"/>
        </w:rPr>
        <w:t>„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>м</w:t>
      </w:r>
      <w:r w:rsidR="007B0409" w:rsidRPr="00181DF1">
        <w:rPr>
          <w:rFonts w:asciiTheme="majorBidi" w:hAnsiTheme="majorBidi" w:cstheme="majorBidi"/>
          <w:sz w:val="26"/>
          <w:szCs w:val="26"/>
          <w:lang w:val="bg-BG" w:eastAsia="bg-BG"/>
        </w:rPr>
        <w:t>агия</w:t>
      </w:r>
      <w:r w:rsidR="007B0409">
        <w:rPr>
          <w:rFonts w:asciiTheme="majorBidi" w:hAnsiTheme="majorBidi" w:cstheme="majorBidi"/>
          <w:sz w:val="26"/>
          <w:szCs w:val="26"/>
          <w:lang w:val="bg-BG" w:eastAsia="bg-BG"/>
        </w:rPr>
        <w:t>“ изморява читателя, но доставя обил</w:t>
      </w:r>
      <w:r w:rsidR="00E57722">
        <w:rPr>
          <w:rFonts w:asciiTheme="majorBidi" w:hAnsiTheme="majorBidi" w:cstheme="majorBidi"/>
          <w:sz w:val="26"/>
          <w:szCs w:val="26"/>
          <w:lang w:val="bg-BG" w:eastAsia="bg-BG"/>
        </w:rPr>
        <w:t>ни и полезни сведения за изследователя.</w:t>
      </w:r>
      <w:r w:rsidR="00D65C5E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Получила се</w:t>
      </w:r>
      <w:r w:rsidR="00E57722">
        <w:rPr>
          <w:rFonts w:asciiTheme="majorBidi" w:hAnsiTheme="majorBidi" w:cstheme="majorBidi"/>
          <w:sz w:val="26"/>
          <w:szCs w:val="26"/>
          <w:lang w:val="bg-BG" w:eastAsia="bg-BG"/>
        </w:rPr>
        <w:t xml:space="preserve"> е</w:t>
      </w:r>
      <w:r w:rsidR="00D65C5E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  <w:r w:rsidR="00E57722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успешна </w:t>
      </w:r>
      <w:r w:rsidR="00E57722">
        <w:rPr>
          <w:rFonts w:asciiTheme="majorBidi" w:hAnsiTheme="majorBidi" w:cstheme="majorBidi"/>
          <w:sz w:val="26"/>
          <w:szCs w:val="26"/>
          <w:lang w:val="bg-BG" w:eastAsia="bg-BG"/>
        </w:rPr>
        <w:t xml:space="preserve">и с </w:t>
      </w:r>
      <w:r w:rsidR="007B040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познавателна стойност </w:t>
      </w:r>
      <w:r w:rsidR="00D65C5E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сплав на минало и </w:t>
      </w:r>
      <w:r w:rsidR="0045224E">
        <w:rPr>
          <w:rFonts w:asciiTheme="majorBidi" w:hAnsiTheme="majorBidi" w:cstheme="majorBidi"/>
          <w:sz w:val="26"/>
          <w:szCs w:val="26"/>
          <w:lang w:val="bg-BG" w:eastAsia="bg-BG"/>
        </w:rPr>
        <w:t>настояще.</w:t>
      </w:r>
      <w:r w:rsidR="002274D9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</w:t>
      </w:r>
    </w:p>
    <w:p w:rsidR="00C7330B" w:rsidRPr="00181DF1" w:rsidRDefault="002274D9" w:rsidP="00021C7D">
      <w:pPr>
        <w:overflowPunct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sz w:val="26"/>
          <w:szCs w:val="26"/>
          <w:lang w:val="bg-BG" w:eastAsia="bg-BG"/>
        </w:rPr>
      </w:pPr>
      <w:r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Убеден съм, че </w:t>
      </w:r>
      <w:r w:rsidR="00E25931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изследването </w:t>
      </w:r>
      <w:r w:rsidR="00C7330B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„Интелектуалният и религиозният елити в </w:t>
      </w:r>
      <w:proofErr w:type="spellStart"/>
      <w:r w:rsidR="00C7330B" w:rsidRPr="00181DF1">
        <w:rPr>
          <w:rFonts w:asciiTheme="majorBidi" w:hAnsiTheme="majorBidi" w:cstheme="majorBidi"/>
          <w:sz w:val="26"/>
          <w:szCs w:val="26"/>
          <w:lang w:val="bg-BG" w:eastAsia="bg-BG"/>
        </w:rPr>
        <w:t>Леванта</w:t>
      </w:r>
      <w:proofErr w:type="spellEnd"/>
      <w:r w:rsidR="00C7330B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и тяхното отношение към политиката  на </w:t>
      </w:r>
      <w:proofErr w:type="spellStart"/>
      <w:r w:rsidR="00C7330B" w:rsidRPr="00181DF1">
        <w:rPr>
          <w:rFonts w:asciiTheme="majorBidi" w:hAnsiTheme="majorBidi" w:cstheme="majorBidi"/>
          <w:sz w:val="26"/>
          <w:szCs w:val="26"/>
          <w:lang w:val="bg-BG" w:eastAsia="bg-BG"/>
        </w:rPr>
        <w:t>Аюбидската</w:t>
      </w:r>
      <w:proofErr w:type="spellEnd"/>
      <w:r w:rsidR="00C7330B" w:rsidRPr="00181DF1">
        <w:rPr>
          <w:rFonts w:asciiTheme="majorBidi" w:hAnsiTheme="majorBidi" w:cstheme="majorBidi"/>
          <w:sz w:val="26"/>
          <w:szCs w:val="26"/>
          <w:lang w:val="bg-BG" w:eastAsia="bg-BG"/>
        </w:rPr>
        <w:t xml:space="preserve"> династия през периода 1174-1250 г.“ отговаря на изискванията за дисертационен труд за </w:t>
      </w:r>
      <w:r w:rsidR="00C7330B" w:rsidRPr="00181DF1">
        <w:rPr>
          <w:rFonts w:asciiTheme="majorBidi" w:hAnsiTheme="majorBidi" w:cstheme="majorBidi"/>
          <w:sz w:val="26"/>
          <w:szCs w:val="26"/>
          <w:lang w:val="bg-BG"/>
        </w:rPr>
        <w:t xml:space="preserve">придобиване на  образователната и научна степен „доктор“ и предлагам </w:t>
      </w:r>
      <w:r w:rsidR="002E6C1E" w:rsidRPr="00181DF1">
        <w:rPr>
          <w:rFonts w:asciiTheme="majorBidi" w:hAnsiTheme="majorBidi" w:cstheme="majorBidi"/>
          <w:sz w:val="26"/>
          <w:szCs w:val="26"/>
          <w:lang w:val="bg-BG"/>
        </w:rPr>
        <w:t xml:space="preserve">на уважаемото жури да </w:t>
      </w:r>
      <w:r w:rsidR="00C7330B" w:rsidRPr="00181DF1">
        <w:rPr>
          <w:rFonts w:asciiTheme="majorBidi" w:hAnsiTheme="majorBidi" w:cstheme="majorBidi"/>
          <w:sz w:val="26"/>
          <w:szCs w:val="26"/>
          <w:lang w:val="bg-BG"/>
        </w:rPr>
        <w:t>удосто</w:t>
      </w:r>
      <w:r w:rsidR="002E6C1E" w:rsidRPr="00181DF1">
        <w:rPr>
          <w:rFonts w:asciiTheme="majorBidi" w:hAnsiTheme="majorBidi" w:cstheme="majorBidi"/>
          <w:sz w:val="26"/>
          <w:szCs w:val="26"/>
          <w:lang w:val="bg-BG"/>
        </w:rPr>
        <w:t>и</w:t>
      </w:r>
      <w:r w:rsidR="00C7330B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="007959ED" w:rsidRPr="00181DF1">
        <w:rPr>
          <w:rFonts w:asciiTheme="majorBidi" w:hAnsiTheme="majorBidi" w:cstheme="majorBidi"/>
          <w:sz w:val="26"/>
          <w:szCs w:val="26"/>
          <w:lang w:val="bg-BG"/>
        </w:rPr>
        <w:t xml:space="preserve">с нея </w:t>
      </w:r>
      <w:r w:rsidR="002E6C1E" w:rsidRPr="00181DF1">
        <w:rPr>
          <w:rFonts w:asciiTheme="majorBidi" w:hAnsiTheme="majorBidi" w:cstheme="majorBidi"/>
          <w:sz w:val="26"/>
          <w:szCs w:val="26"/>
          <w:lang w:val="bg-BG"/>
        </w:rPr>
        <w:t xml:space="preserve">г-н </w:t>
      </w:r>
      <w:proofErr w:type="spellStart"/>
      <w:r w:rsidR="002E6C1E" w:rsidRPr="00181DF1">
        <w:rPr>
          <w:rFonts w:asciiTheme="majorBidi" w:hAnsiTheme="majorBidi" w:cstheme="majorBidi"/>
          <w:sz w:val="26"/>
          <w:szCs w:val="26"/>
          <w:lang w:val="bg-BG"/>
        </w:rPr>
        <w:t>Джехад</w:t>
      </w:r>
      <w:proofErr w:type="spellEnd"/>
      <w:r w:rsidR="002E6C1E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proofErr w:type="spellStart"/>
      <w:r w:rsidR="002E6C1E" w:rsidRPr="00181DF1">
        <w:rPr>
          <w:rFonts w:asciiTheme="majorBidi" w:hAnsiTheme="majorBidi" w:cstheme="majorBidi"/>
          <w:sz w:val="26"/>
          <w:szCs w:val="26"/>
          <w:lang w:val="bg-BG"/>
        </w:rPr>
        <w:t>Алмалки</w:t>
      </w:r>
      <w:proofErr w:type="spellEnd"/>
      <w:r w:rsidR="00C7330B" w:rsidRPr="00181DF1">
        <w:rPr>
          <w:rFonts w:asciiTheme="majorBidi" w:hAnsiTheme="majorBidi" w:cstheme="majorBidi"/>
          <w:sz w:val="26"/>
          <w:szCs w:val="26"/>
          <w:lang w:val="bg-BG"/>
        </w:rPr>
        <w:t>.</w:t>
      </w:r>
    </w:p>
    <w:p w:rsidR="002E6C1E" w:rsidRDefault="002E6C1E" w:rsidP="00021C7D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sz w:val="26"/>
          <w:szCs w:val="26"/>
          <w:lang w:val="bg-BG"/>
        </w:rPr>
      </w:pPr>
    </w:p>
    <w:p w:rsidR="00265D5C" w:rsidRPr="00181DF1" w:rsidRDefault="00713F58" w:rsidP="00713F58">
      <w:pPr>
        <w:overflowPunct/>
        <w:autoSpaceDE/>
        <w:autoSpaceDN/>
        <w:adjustRightInd/>
        <w:spacing w:before="120"/>
        <w:ind w:right="142" w:firstLine="1135"/>
        <w:jc w:val="right"/>
        <w:textAlignment w:val="auto"/>
        <w:rPr>
          <w:rFonts w:asciiTheme="majorBidi" w:hAnsiTheme="majorBidi" w:cstheme="majorBidi"/>
          <w:sz w:val="26"/>
          <w:szCs w:val="26"/>
          <w:lang w:val="bg-BG"/>
        </w:rPr>
      </w:pPr>
      <w:r>
        <w:rPr>
          <w:rFonts w:asciiTheme="majorBidi" w:hAnsiTheme="majorBidi" w:cstheme="majorBidi"/>
          <w:noProof/>
          <w:sz w:val="26"/>
          <w:szCs w:val="26"/>
          <w:lang w:val="bg-BG" w:eastAsia="bg-BG"/>
        </w:rPr>
        <w:drawing>
          <wp:inline distT="0" distB="0" distL="0" distR="0" wp14:anchorId="14D8BDDD" wp14:editId="59F88DA4">
            <wp:extent cx="2447925" cy="542925"/>
            <wp:effectExtent l="0" t="0" r="9525" b="9525"/>
            <wp:docPr id="2" name="Picture 2" descr="H:\DSC08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SC08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8" t="72645" r="6879" b="19218"/>
                    <a:stretch/>
                  </pic:blipFill>
                  <pic:spPr bwMode="auto">
                    <a:xfrm>
                      <a:off x="0" y="0"/>
                      <a:ext cx="2455618" cy="54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97E" w:rsidRDefault="002E6C1E" w:rsidP="00713F58">
      <w:pPr>
        <w:spacing w:before="120"/>
        <w:ind w:right="142" w:firstLine="1135"/>
        <w:jc w:val="center"/>
        <w:rPr>
          <w:rFonts w:asciiTheme="majorBidi" w:hAnsiTheme="majorBidi" w:cstheme="majorBidi"/>
          <w:sz w:val="26"/>
          <w:szCs w:val="26"/>
          <w:lang w:val="bg-BG"/>
        </w:rPr>
      </w:pPr>
      <w:r w:rsidRPr="00181DF1">
        <w:rPr>
          <w:rFonts w:asciiTheme="majorBidi" w:hAnsiTheme="majorBidi" w:cstheme="majorBidi"/>
          <w:sz w:val="26"/>
          <w:szCs w:val="26"/>
          <w:lang w:val="bg-BG"/>
        </w:rPr>
        <w:t>София, 3</w:t>
      </w:r>
      <w:r w:rsidR="00181DF1" w:rsidRPr="00181DF1">
        <w:rPr>
          <w:rFonts w:asciiTheme="majorBidi" w:hAnsiTheme="majorBidi" w:cstheme="majorBidi"/>
          <w:sz w:val="26"/>
          <w:szCs w:val="26"/>
          <w:lang w:val="bg-BG"/>
        </w:rPr>
        <w:t xml:space="preserve"> </w:t>
      </w:r>
      <w:r w:rsidRPr="00181DF1">
        <w:rPr>
          <w:rFonts w:asciiTheme="majorBidi" w:hAnsiTheme="majorBidi" w:cstheme="majorBidi"/>
          <w:sz w:val="26"/>
          <w:szCs w:val="26"/>
          <w:lang w:val="bg-BG"/>
        </w:rPr>
        <w:t>ноември 2021 г.</w:t>
      </w:r>
    </w:p>
    <w:p w:rsidR="00A4128A" w:rsidRDefault="00A4128A" w:rsidP="00A4128A">
      <w:pPr>
        <w:spacing w:before="120"/>
        <w:ind w:left="-709" w:right="142"/>
        <w:rPr>
          <w:rFonts w:asciiTheme="majorBidi" w:hAnsiTheme="majorBidi" w:cstheme="majorBidi"/>
          <w:sz w:val="26"/>
          <w:szCs w:val="26"/>
          <w:lang w:val="bg-BG"/>
        </w:rPr>
      </w:pPr>
      <w:bookmarkStart w:id="0" w:name="_GoBack"/>
      <w:bookmarkEnd w:id="0"/>
    </w:p>
    <w:p w:rsidR="00A4128A" w:rsidRDefault="00A4128A" w:rsidP="00021C7D">
      <w:pPr>
        <w:spacing w:before="120"/>
        <w:ind w:right="142" w:firstLine="1135"/>
        <w:rPr>
          <w:rFonts w:asciiTheme="majorBidi" w:hAnsiTheme="majorBidi" w:cstheme="majorBidi"/>
          <w:sz w:val="26"/>
          <w:szCs w:val="26"/>
          <w:lang w:val="bg-BG"/>
        </w:rPr>
      </w:pPr>
    </w:p>
    <w:p w:rsidR="00A4128A" w:rsidRPr="00181DF1" w:rsidRDefault="00A4128A" w:rsidP="00021C7D">
      <w:pPr>
        <w:spacing w:before="120"/>
        <w:ind w:right="142" w:firstLine="1135"/>
        <w:rPr>
          <w:rFonts w:asciiTheme="majorBidi" w:hAnsiTheme="majorBidi" w:cstheme="majorBidi"/>
          <w:sz w:val="26"/>
          <w:szCs w:val="26"/>
          <w:lang w:val="bg-BG"/>
        </w:rPr>
      </w:pPr>
    </w:p>
    <w:sectPr w:rsidR="00A4128A" w:rsidRPr="00181DF1" w:rsidSect="005C13B0">
      <w:headerReference w:type="even" r:id="rId9"/>
      <w:headerReference w:type="default" r:id="rId10"/>
      <w:pgSz w:w="12242" w:h="15842"/>
      <w:pgMar w:top="851" w:right="618" w:bottom="136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C8" w:rsidRDefault="00C715C8" w:rsidP="004416E6">
      <w:r>
        <w:separator/>
      </w:r>
    </w:p>
  </w:endnote>
  <w:endnote w:type="continuationSeparator" w:id="0">
    <w:p w:rsidR="00C715C8" w:rsidRDefault="00C715C8" w:rsidP="004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C8" w:rsidRDefault="00C715C8" w:rsidP="004416E6">
      <w:r>
        <w:separator/>
      </w:r>
    </w:p>
  </w:footnote>
  <w:footnote w:type="continuationSeparator" w:id="0">
    <w:p w:rsidR="00C715C8" w:rsidRDefault="00C715C8" w:rsidP="0044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6E6" w:rsidRDefault="004416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4416E6" w:rsidRDefault="004416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6E6" w:rsidRDefault="004416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8AE">
      <w:rPr>
        <w:rStyle w:val="PageNumber"/>
        <w:noProof/>
      </w:rPr>
      <w:t>4</w:t>
    </w:r>
    <w:r>
      <w:rPr>
        <w:rStyle w:val="PageNumber"/>
      </w:rPr>
      <w:fldChar w:fldCharType="end"/>
    </w:r>
  </w:p>
  <w:p w:rsidR="004416E6" w:rsidRDefault="004416E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6E6"/>
    <w:rsid w:val="00021C7D"/>
    <w:rsid w:val="0008017D"/>
    <w:rsid w:val="000B16D6"/>
    <w:rsid w:val="00145F08"/>
    <w:rsid w:val="00181DF1"/>
    <w:rsid w:val="001A5BFB"/>
    <w:rsid w:val="002274D9"/>
    <w:rsid w:val="002429D5"/>
    <w:rsid w:val="00246F82"/>
    <w:rsid w:val="00265D5C"/>
    <w:rsid w:val="0026686B"/>
    <w:rsid w:val="002E6C1E"/>
    <w:rsid w:val="00385B99"/>
    <w:rsid w:val="00387496"/>
    <w:rsid w:val="003C0854"/>
    <w:rsid w:val="003E7B78"/>
    <w:rsid w:val="0042161D"/>
    <w:rsid w:val="004416E6"/>
    <w:rsid w:val="0045224E"/>
    <w:rsid w:val="0045331D"/>
    <w:rsid w:val="00466D6F"/>
    <w:rsid w:val="004A370A"/>
    <w:rsid w:val="004C7758"/>
    <w:rsid w:val="004D3017"/>
    <w:rsid w:val="005656C0"/>
    <w:rsid w:val="00580C3E"/>
    <w:rsid w:val="00596F79"/>
    <w:rsid w:val="005C13B0"/>
    <w:rsid w:val="00631668"/>
    <w:rsid w:val="00696CBF"/>
    <w:rsid w:val="006B0F8C"/>
    <w:rsid w:val="006D43EA"/>
    <w:rsid w:val="007011E5"/>
    <w:rsid w:val="007013AC"/>
    <w:rsid w:val="00713F58"/>
    <w:rsid w:val="007959ED"/>
    <w:rsid w:val="007A6C14"/>
    <w:rsid w:val="007B0409"/>
    <w:rsid w:val="007B3DB9"/>
    <w:rsid w:val="007C76B5"/>
    <w:rsid w:val="007D21DF"/>
    <w:rsid w:val="007F0135"/>
    <w:rsid w:val="007F7181"/>
    <w:rsid w:val="00810850"/>
    <w:rsid w:val="00833C5D"/>
    <w:rsid w:val="00846E6B"/>
    <w:rsid w:val="00851043"/>
    <w:rsid w:val="008B74B6"/>
    <w:rsid w:val="008F58B8"/>
    <w:rsid w:val="00933231"/>
    <w:rsid w:val="00991777"/>
    <w:rsid w:val="009A183A"/>
    <w:rsid w:val="009A702F"/>
    <w:rsid w:val="009B1EC1"/>
    <w:rsid w:val="009F75E2"/>
    <w:rsid w:val="00A36620"/>
    <w:rsid w:val="00A4128A"/>
    <w:rsid w:val="00A67EB3"/>
    <w:rsid w:val="00AC7432"/>
    <w:rsid w:val="00AD26AB"/>
    <w:rsid w:val="00AD61EE"/>
    <w:rsid w:val="00B14D5D"/>
    <w:rsid w:val="00B16381"/>
    <w:rsid w:val="00BA3BF7"/>
    <w:rsid w:val="00C00C81"/>
    <w:rsid w:val="00C54651"/>
    <w:rsid w:val="00C715C8"/>
    <w:rsid w:val="00C7330B"/>
    <w:rsid w:val="00C843C1"/>
    <w:rsid w:val="00CA274A"/>
    <w:rsid w:val="00CF3A1A"/>
    <w:rsid w:val="00D0393D"/>
    <w:rsid w:val="00D419F1"/>
    <w:rsid w:val="00D65C5E"/>
    <w:rsid w:val="00D91E46"/>
    <w:rsid w:val="00D946AD"/>
    <w:rsid w:val="00DC5232"/>
    <w:rsid w:val="00E07967"/>
    <w:rsid w:val="00E145D4"/>
    <w:rsid w:val="00E25931"/>
    <w:rsid w:val="00E57722"/>
    <w:rsid w:val="00EA2FF5"/>
    <w:rsid w:val="00EB2A21"/>
    <w:rsid w:val="00EC67AA"/>
    <w:rsid w:val="00EE5CA2"/>
    <w:rsid w:val="00F158AE"/>
    <w:rsid w:val="00F607D1"/>
    <w:rsid w:val="00FC51EB"/>
    <w:rsid w:val="00F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2C8A8-64F0-4F7B-9764-02C6F3A6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6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6E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416E6"/>
  </w:style>
  <w:style w:type="paragraph" w:styleId="Footer">
    <w:name w:val="footer"/>
    <w:basedOn w:val="Normal"/>
    <w:link w:val="FooterChar"/>
    <w:uiPriority w:val="99"/>
    <w:unhideWhenUsed/>
    <w:rsid w:val="004416E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416E6"/>
  </w:style>
  <w:style w:type="character" w:styleId="PageNumber">
    <w:name w:val="page number"/>
    <w:basedOn w:val="DefaultParagraphFont"/>
    <w:rsid w:val="004416E6"/>
  </w:style>
  <w:style w:type="paragraph" w:customStyle="1" w:styleId="Default">
    <w:name w:val="Default"/>
    <w:rsid w:val="0063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C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CBF"/>
    <w:rPr>
      <w:rFonts w:ascii="Consolas" w:eastAsia="Times New Roman" w:hAnsi="Consolas" w:cs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AB53-27EA-46D3-976E-F0EC3136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Livia</cp:lastModifiedBy>
  <cp:revision>3</cp:revision>
  <cp:lastPrinted>2021-11-03T08:45:00Z</cp:lastPrinted>
  <dcterms:created xsi:type="dcterms:W3CDTF">2021-11-03T09:22:00Z</dcterms:created>
  <dcterms:modified xsi:type="dcterms:W3CDTF">2021-11-10T13:00:00Z</dcterms:modified>
</cp:coreProperties>
</file>