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МЕЖДУНАРОДНИ ОТНОШЕНИЯ И ПРОБЛЕМИ НА СИГУРНОСТТА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факултет: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ФИЛОСОФСК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И | ОКС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Магистър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форма на обучение: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учебна година: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2019-2020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семестър: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ЗИМЕН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сесия: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 контакт: Бека Натан (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a73e8"/>
            <w:sz w:val="20"/>
            <w:szCs w:val="20"/>
            <w:highlight w:val="white"/>
            <w:u w:val="none"/>
            <w:rtl w:val="0"/>
          </w:rPr>
          <w:t xml:space="preserve">natan@phls.uni-sofia.bg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ГРАФИК на ИЗПИТИ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(публикуван на: 14.01.2020 | последна актуализация: ... | моля, проверявайте за промени)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60"/>
        <w:gridCol w:w="2552"/>
        <w:gridCol w:w="1985"/>
        <w:gridCol w:w="946"/>
        <w:gridCol w:w="752"/>
        <w:gridCol w:w="1045"/>
        <w:gridCol w:w="1582"/>
        <w:tblGridChange w:id="0">
          <w:tblGrid>
            <w:gridCol w:w="6060"/>
            <w:gridCol w:w="2552"/>
            <w:gridCol w:w="1985"/>
            <w:gridCol w:w="946"/>
            <w:gridCol w:w="752"/>
            <w:gridCol w:w="1045"/>
            <w:gridCol w:w="1582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Начало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Край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Зала 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Форма на изпитване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(писмен, устен, курсова работа)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Близкият изток и международните отношения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Д-р М. Халаф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21.01 вторник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304, бл.4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Международни организации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Л. Минчева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23.01 четвъртък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326, бл.4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Международно право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Ир. Илиева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25.01 събота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17,30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326, бл.4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Симулативна игра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Б. Костов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27.01 понеделник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308, бл.4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Външна политика и сигурност на България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Евг. Калинова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29.01 сряда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326, бл.4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Регионални аспекти на външната политика на Турция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Аг. Гарабедян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1.02 събота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326, бл.4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Новата политика на добросъседство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Г. Георгиев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6.02 четвъртък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229, бл.4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Въведение в международните отношения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дсн Огн. Минчев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11.02 вторник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326, бл.4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Международна политическа икономия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Кр. Станчев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14.02 петък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326, бл.4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7"/>
            <w:shd w:fill="f7cbac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 курс неспециалисти редовна форма на обучение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Политически теории за европейската интеграция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Д-р Ив. Начев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18.01 събота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329, бл.4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Демокрация – теория и модели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Д. Канев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 понеделник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17,30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308, бл.4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Политически системи и институции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дпн Г. Горанов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27.01 понеделник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304, бл.4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Политически партии и системи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М. Любенов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1.02.2020 събота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305, бл.4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Теория на политиката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дпн М. Пиргова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6.02. четвъртък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305, бл.4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Избори и избирателни системи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Д. Димитров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8.02 събота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305, бл.4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/>
      <w:pgMar w:bottom="567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atan@phls.uni-sofia.b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