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ФИЛОСОФИЯ ЗА СРЕДНИТЕ УЧИЛИЩА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факултет: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ФИЛОСОФСКИ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ОКС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Магистър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форма на обучение: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ЗАДОЧНА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учебна година: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2019-2020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семестър: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ЗИМЕН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сесия: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 контакт: Надежда Жечкова (</w:t>
      </w:r>
      <w:hyperlink r:id="rId6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highlight w:val="white"/>
            <w:u w:val="none"/>
            <w:rtl w:val="0"/>
          </w:rPr>
          <w:t xml:space="preserve">n_jechkova@phls.uni-sofia.bg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ГРАФИК на ИЗИТИ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(публикуван на: 16.01.2020 | последна актуализация: ... | моля, проверявайте за промени)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4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61"/>
        <w:gridCol w:w="4113"/>
        <w:gridCol w:w="1397"/>
        <w:gridCol w:w="974"/>
        <w:gridCol w:w="745"/>
        <w:gridCol w:w="2554"/>
        <w:tblGridChange w:id="0">
          <w:tblGrid>
            <w:gridCol w:w="6061"/>
            <w:gridCol w:w="4113"/>
            <w:gridCol w:w="1397"/>
            <w:gridCol w:w="974"/>
            <w:gridCol w:w="745"/>
            <w:gridCol w:w="2554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Дисциплина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Преподавател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Начален час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Краен час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Style w:val="Heading2"/>
              <w:spacing w:after="0"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Аудитория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ИСТОРИЯ НА ФИЛОСОФИЯТА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Димитър Денков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8.02.2020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4">
            <w:pPr>
              <w:pStyle w:val="Heading2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52 к., Ректорат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Силвия Минева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6.02.2020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Style w:val="Heading2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83Б,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Ректорат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ФИЛОСОФИЯ НА ПРАВОТО И ПОЛИТИКАТА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Пламен Макариев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0">
            <w:pPr>
              <w:pStyle w:val="Heading2"/>
              <w:spacing w:after="0" w:before="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53 к., Ректорат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ВЪВЕДЕНИЕ ВЪВ ФИЛОСОФИЯТА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Стоян Асенов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Style w:val="Heading2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54 к., Ректорат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ЛОГИКА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Анна Бешкова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22.02.2020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C">
            <w:pPr>
              <w:pStyle w:val="Heading2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МУДЪЛ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ПСИХОЛОГИЯ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д.пс.н. Соня Карабельова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Style w:val="Heading2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232 к., бл.4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ПЕДАГОГИКА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Силвия Цветанска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15.02.2020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8">
            <w:pPr>
              <w:pStyle w:val="Heading2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83Б, Ректорат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ПРИОБЩАВАЩО ОБРАЗОВАНИЕ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Емилия Алексиева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Style w:val="Heading2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21, Ректорат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ИНФОРМАЦИОННИ И КОМУНИКАЦИОННИ ТЕХНОЛОГИИ В ОБУЧЕНИЕТО И РАБОТАТА В ДИГИТАЛНА СРЕДА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Иван Колев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15.02.2020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4">
            <w:pPr>
              <w:pStyle w:val="Heading2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41, Ректорат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МЕТОДИКА НА ОБУЧЕНИЕТО ПО ФИЛОСОФИЯ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д.ф.н. Сергей Герджиков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10.02.2020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Style w:val="Heading2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63А, Ректорат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erif" w:cs="Liberation Serif" w:eastAsia="Liberation Serif" w:hAnsi="Liberation Serif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_jechkova@phls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