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6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071"/>
        <w:gridCol w:w="7797"/>
      </w:tblGrid>
      <w:tr w:rsidR="00121321">
        <w:trPr>
          <w:trHeight w:val="1723"/>
          <w:jc w:val="center"/>
        </w:trPr>
        <w:tc>
          <w:tcPr>
            <w:tcW w:w="14868" w:type="dxa"/>
            <w:gridSpan w:val="2"/>
            <w:shd w:val="clear" w:color="auto" w:fill="auto"/>
          </w:tcPr>
          <w:p w:rsidR="000C5187" w:rsidRDefault="00AC2932">
            <w:pPr>
              <w:ind w:left="540"/>
              <w:jc w:val="center"/>
            </w:pPr>
            <w:r>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4.2pt;width:66.05pt;height:80.9pt;z-index:-251658752;mso-position-horizontal:left" wrapcoords="9327 800 7118 1000 2455 3200 2455 4000 736 7600 1473 11400 5155 13600 6873 13600 7364 16800 8345 20000 8591 20200 12027 20200 12273 20000 13745 16800 14236 13600 19636 12200 20618 11200 19145 10400 20864 10400 20864 7400 20373 5800 19145 4000 19391 2800 15218 800 12027 800 9327 800" fillcolor="window">
                  <v:imagedata r:id="rId7" o:title=""/>
                  <w10:wrap type="tight"/>
                </v:shape>
                <o:OLEObject Type="Embed" ProgID="Word.Picture.8" ShapeID="_x0000_s1030" DrawAspect="Content" ObjectID="_1774961168" r:id="rId8"/>
              </w:object>
            </w:r>
          </w:p>
          <w:p w:rsidR="005C6FA2" w:rsidRDefault="005C6FA2" w:rsidP="0070182C">
            <w:pPr>
              <w:rPr>
                <w:rFonts w:ascii="Arial" w:hAnsi="Arial" w:cs="Arial"/>
                <w:sz w:val="32"/>
                <w:szCs w:val="32"/>
                <w:lang w:val="en-US"/>
              </w:rPr>
            </w:pPr>
            <w:bookmarkStart w:id="0" w:name="_GoBack"/>
            <w:bookmarkEnd w:id="0"/>
          </w:p>
          <w:p w:rsidR="00121321" w:rsidRDefault="00121321">
            <w:pPr>
              <w:jc w:val="center"/>
              <w:rPr>
                <w:rFonts w:ascii="Calibri" w:hAnsi="Calibri" w:cs="Arial"/>
                <w:sz w:val="36"/>
                <w:szCs w:val="36"/>
              </w:rPr>
            </w:pPr>
            <w:r>
              <w:rPr>
                <w:rFonts w:ascii="Calibri" w:hAnsi="Calibri" w:cs="Arial"/>
                <w:sz w:val="36"/>
                <w:szCs w:val="36"/>
              </w:rPr>
              <w:t xml:space="preserve">СОФИЙСКИ </w:t>
            </w:r>
            <w:r w:rsidR="00325506">
              <w:rPr>
                <w:rFonts w:ascii="Calibri" w:hAnsi="Calibri" w:cs="Arial"/>
                <w:sz w:val="36"/>
                <w:szCs w:val="36"/>
                <w:lang w:val="en-US"/>
              </w:rPr>
              <w:t xml:space="preserve"> </w:t>
            </w:r>
            <w:r>
              <w:rPr>
                <w:rFonts w:ascii="Calibri" w:hAnsi="Calibri" w:cs="Arial"/>
                <w:sz w:val="36"/>
                <w:szCs w:val="36"/>
              </w:rPr>
              <w:t xml:space="preserve">УНИВЕРСИТЕТ </w:t>
            </w:r>
            <w:r w:rsidR="00325506">
              <w:rPr>
                <w:rFonts w:ascii="Calibri" w:hAnsi="Calibri" w:cs="Arial"/>
                <w:sz w:val="36"/>
                <w:szCs w:val="36"/>
                <w:lang w:val="en-US"/>
              </w:rPr>
              <w:t xml:space="preserve"> </w:t>
            </w:r>
            <w:r>
              <w:rPr>
                <w:rFonts w:ascii="Calibri" w:hAnsi="Calibri" w:cs="Arial"/>
                <w:sz w:val="36"/>
                <w:szCs w:val="36"/>
              </w:rPr>
              <w:t>„СВ. КЛИМЕНТ ОХРИДСКИ”</w:t>
            </w:r>
          </w:p>
        </w:tc>
      </w:tr>
      <w:tr w:rsidR="00451EE0">
        <w:trPr>
          <w:trHeight w:val="436"/>
          <w:jc w:val="center"/>
        </w:trPr>
        <w:tc>
          <w:tcPr>
            <w:tcW w:w="14868" w:type="dxa"/>
            <w:gridSpan w:val="2"/>
            <w:shd w:val="clear" w:color="auto" w:fill="auto"/>
            <w:vAlign w:val="center"/>
          </w:tcPr>
          <w:p w:rsidR="00451EE0" w:rsidRDefault="00451EE0" w:rsidP="00B23D89">
            <w:pPr>
              <w:jc w:val="center"/>
              <w:rPr>
                <w:rFonts w:ascii="Calibri" w:hAnsi="Calibri" w:cs="Tahoma"/>
                <w:sz w:val="28"/>
                <w:szCs w:val="28"/>
              </w:rPr>
            </w:pPr>
            <w:r>
              <w:rPr>
                <w:rFonts w:ascii="Calibri" w:hAnsi="Calibri" w:cs="Tahoma"/>
                <w:sz w:val="28"/>
                <w:szCs w:val="28"/>
              </w:rPr>
              <w:t>ФАКУЛТЕТ</w:t>
            </w:r>
            <w:r w:rsidR="00B23D89">
              <w:rPr>
                <w:rFonts w:ascii="Calibri" w:hAnsi="Calibri" w:cs="Tahoma"/>
                <w:sz w:val="28"/>
                <w:szCs w:val="28"/>
              </w:rPr>
              <w:t xml:space="preserve"> ПО КЛАСИЧЕСКИ И НОВИ ФИЛОЛОГИИ</w:t>
            </w:r>
          </w:p>
        </w:tc>
      </w:tr>
      <w:tr w:rsidR="00A65B37">
        <w:trPr>
          <w:trHeight w:val="1156"/>
          <w:jc w:val="center"/>
        </w:trPr>
        <w:tc>
          <w:tcPr>
            <w:tcW w:w="14868" w:type="dxa"/>
            <w:gridSpan w:val="2"/>
            <w:shd w:val="clear" w:color="auto" w:fill="auto"/>
            <w:vAlign w:val="center"/>
          </w:tcPr>
          <w:p w:rsidR="00A65B37" w:rsidRDefault="00A65B37">
            <w:pPr>
              <w:jc w:val="center"/>
              <w:rPr>
                <w:rFonts w:ascii="Calibri" w:hAnsi="Calibri" w:cs="Tahoma"/>
                <w:sz w:val="52"/>
                <w:szCs w:val="52"/>
              </w:rPr>
            </w:pPr>
            <w:r>
              <w:rPr>
                <w:rFonts w:ascii="Calibri" w:hAnsi="Calibri" w:cs="Tahoma"/>
                <w:sz w:val="52"/>
                <w:szCs w:val="52"/>
              </w:rPr>
              <w:t>У</w:t>
            </w:r>
            <w:r w:rsidR="00451EE0">
              <w:rPr>
                <w:rFonts w:ascii="Calibri" w:hAnsi="Calibri" w:cs="Tahoma"/>
                <w:sz w:val="52"/>
                <w:szCs w:val="52"/>
              </w:rPr>
              <w:t xml:space="preserve"> </w:t>
            </w:r>
            <w:r>
              <w:rPr>
                <w:rFonts w:ascii="Calibri" w:hAnsi="Calibri" w:cs="Tahoma"/>
                <w:sz w:val="52"/>
                <w:szCs w:val="52"/>
              </w:rPr>
              <w:t>Ч</w:t>
            </w:r>
            <w:r w:rsidR="00451EE0">
              <w:rPr>
                <w:rFonts w:ascii="Calibri" w:hAnsi="Calibri" w:cs="Tahoma"/>
                <w:sz w:val="52"/>
                <w:szCs w:val="52"/>
              </w:rPr>
              <w:t xml:space="preserve"> </w:t>
            </w:r>
            <w:r>
              <w:rPr>
                <w:rFonts w:ascii="Calibri" w:hAnsi="Calibri" w:cs="Tahoma"/>
                <w:sz w:val="52"/>
                <w:szCs w:val="52"/>
              </w:rPr>
              <w:t>Е</w:t>
            </w:r>
            <w:r w:rsidR="00451EE0">
              <w:rPr>
                <w:rFonts w:ascii="Calibri" w:hAnsi="Calibri" w:cs="Tahoma"/>
                <w:sz w:val="52"/>
                <w:szCs w:val="52"/>
              </w:rPr>
              <w:t xml:space="preserve"> </w:t>
            </w:r>
            <w:r>
              <w:rPr>
                <w:rFonts w:ascii="Calibri" w:hAnsi="Calibri" w:cs="Tahoma"/>
                <w:sz w:val="52"/>
                <w:szCs w:val="52"/>
              </w:rPr>
              <w:t>Б</w:t>
            </w:r>
            <w:r w:rsidR="00451EE0">
              <w:rPr>
                <w:rFonts w:ascii="Calibri" w:hAnsi="Calibri" w:cs="Tahoma"/>
                <w:sz w:val="52"/>
                <w:szCs w:val="52"/>
              </w:rPr>
              <w:t xml:space="preserve"> </w:t>
            </w:r>
            <w:r>
              <w:rPr>
                <w:rFonts w:ascii="Calibri" w:hAnsi="Calibri" w:cs="Tahoma"/>
                <w:sz w:val="52"/>
                <w:szCs w:val="52"/>
              </w:rPr>
              <w:t>Е</w:t>
            </w:r>
            <w:r w:rsidR="00451EE0">
              <w:rPr>
                <w:rFonts w:ascii="Calibri" w:hAnsi="Calibri" w:cs="Tahoma"/>
                <w:sz w:val="52"/>
                <w:szCs w:val="52"/>
              </w:rPr>
              <w:t xml:space="preserve"> </w:t>
            </w:r>
            <w:r w:rsidR="009F072D">
              <w:rPr>
                <w:rFonts w:ascii="Calibri" w:hAnsi="Calibri" w:cs="Tahoma"/>
                <w:sz w:val="52"/>
                <w:szCs w:val="52"/>
              </w:rPr>
              <w:t>Н      П</w:t>
            </w:r>
            <w:r w:rsidR="00451EE0">
              <w:rPr>
                <w:rFonts w:ascii="Calibri" w:hAnsi="Calibri" w:cs="Tahoma"/>
                <w:sz w:val="52"/>
                <w:szCs w:val="52"/>
              </w:rPr>
              <w:t xml:space="preserve"> </w:t>
            </w:r>
            <w:r>
              <w:rPr>
                <w:rFonts w:ascii="Calibri" w:hAnsi="Calibri" w:cs="Tahoma"/>
                <w:sz w:val="52"/>
                <w:szCs w:val="52"/>
              </w:rPr>
              <w:t>Л</w:t>
            </w:r>
            <w:r w:rsidR="00451EE0">
              <w:rPr>
                <w:rFonts w:ascii="Calibri" w:hAnsi="Calibri" w:cs="Tahoma"/>
                <w:sz w:val="52"/>
                <w:szCs w:val="52"/>
              </w:rPr>
              <w:t xml:space="preserve"> </w:t>
            </w:r>
            <w:r>
              <w:rPr>
                <w:rFonts w:ascii="Calibri" w:hAnsi="Calibri" w:cs="Tahoma"/>
                <w:sz w:val="52"/>
                <w:szCs w:val="52"/>
              </w:rPr>
              <w:t>А</w:t>
            </w:r>
            <w:r w:rsidR="00451EE0">
              <w:rPr>
                <w:rFonts w:ascii="Calibri" w:hAnsi="Calibri" w:cs="Tahoma"/>
                <w:sz w:val="52"/>
                <w:szCs w:val="52"/>
              </w:rPr>
              <w:t xml:space="preserve"> </w:t>
            </w:r>
            <w:r>
              <w:rPr>
                <w:rFonts w:ascii="Calibri" w:hAnsi="Calibri" w:cs="Tahoma"/>
                <w:sz w:val="52"/>
                <w:szCs w:val="52"/>
              </w:rPr>
              <w:t>Н</w:t>
            </w:r>
          </w:p>
        </w:tc>
      </w:tr>
      <w:tr w:rsidR="00A65B37">
        <w:trPr>
          <w:trHeight w:val="895"/>
          <w:jc w:val="center"/>
        </w:trPr>
        <w:tc>
          <w:tcPr>
            <w:tcW w:w="7071" w:type="dxa"/>
            <w:shd w:val="clear" w:color="auto" w:fill="auto"/>
            <w:vAlign w:val="bottom"/>
          </w:tcPr>
          <w:p w:rsidR="00A65B37" w:rsidRDefault="00A65B37" w:rsidP="007C0376">
            <w:pPr>
              <w:rPr>
                <w:rFonts w:ascii="Arial" w:hAnsi="Arial" w:cs="Arial"/>
                <w:lang w:val="en-US"/>
              </w:rPr>
            </w:pPr>
            <w:r>
              <w:rPr>
                <w:rFonts w:ascii="Arial" w:hAnsi="Arial" w:cs="Arial"/>
              </w:rPr>
              <w:t>Утвърждавам:</w:t>
            </w:r>
            <w:r w:rsidR="00AB21A9">
              <w:rPr>
                <w:rFonts w:ascii="Arial" w:hAnsi="Arial" w:cs="Arial"/>
                <w:sz w:val="28"/>
                <w:szCs w:val="28"/>
              </w:rPr>
              <w:t xml:space="preserve">   </w:t>
            </w:r>
            <w:r w:rsidR="00AB21A9">
              <w:rPr>
                <w:rFonts w:ascii="Arial" w:hAnsi="Arial" w:cs="Arial"/>
              </w:rPr>
              <w:t>....</w:t>
            </w:r>
            <w:r w:rsidR="00292718">
              <w:rPr>
                <w:rFonts w:ascii="Arial" w:hAnsi="Arial" w:cs="Arial"/>
              </w:rPr>
              <w:t>..............................</w:t>
            </w:r>
          </w:p>
          <w:p w:rsidR="00CF5161" w:rsidRDefault="00CF5161" w:rsidP="007C0376">
            <w:pPr>
              <w:rPr>
                <w:rFonts w:ascii="Arial Black" w:hAnsi="Arial Black" w:cs="Tahoma"/>
                <w:i/>
                <w:sz w:val="22"/>
                <w:szCs w:val="22"/>
                <w:u w:val="single"/>
              </w:rPr>
            </w:pPr>
          </w:p>
        </w:tc>
        <w:tc>
          <w:tcPr>
            <w:tcW w:w="7797" w:type="dxa"/>
            <w:shd w:val="clear" w:color="auto" w:fill="auto"/>
            <w:vAlign w:val="center"/>
          </w:tcPr>
          <w:p w:rsidR="00A65B37" w:rsidRDefault="00451EE0" w:rsidP="00AA1D5A">
            <w:pPr>
              <w:rPr>
                <w:rFonts w:ascii="Arial" w:hAnsi="Arial" w:cs="Arial"/>
              </w:rPr>
            </w:pPr>
            <w:r>
              <w:rPr>
                <w:rFonts w:ascii="Arial" w:hAnsi="Arial" w:cs="Arial"/>
              </w:rPr>
              <w:t>Утвърден о</w:t>
            </w:r>
            <w:r w:rsidR="00CC2267">
              <w:rPr>
                <w:rFonts w:ascii="Arial" w:hAnsi="Arial" w:cs="Arial"/>
              </w:rPr>
              <w:t>т Академически съвет с протокол</w:t>
            </w:r>
          </w:p>
          <w:p w:rsidR="005B5F22" w:rsidRDefault="00CC2267" w:rsidP="00AA1D5A">
            <w:pPr>
              <w:rPr>
                <w:rFonts w:ascii="Arial" w:hAnsi="Arial" w:cs="Arial"/>
              </w:rPr>
            </w:pPr>
            <w:r>
              <w:rPr>
                <w:rFonts w:ascii="Arial" w:hAnsi="Arial" w:cs="Arial"/>
                <w:lang w:val="en-US"/>
              </w:rPr>
              <w:t>№</w:t>
            </w:r>
            <w:r>
              <w:rPr>
                <w:rFonts w:ascii="Arial" w:hAnsi="Arial" w:cs="Arial"/>
              </w:rPr>
              <w:t xml:space="preserve">   </w:t>
            </w:r>
            <w:r w:rsidR="00451EE0">
              <w:rPr>
                <w:rFonts w:ascii="Arial" w:hAnsi="Arial" w:cs="Arial"/>
              </w:rPr>
              <w:t>.............</w:t>
            </w:r>
            <w:r w:rsidR="00713BA4">
              <w:rPr>
                <w:rFonts w:ascii="Arial" w:hAnsi="Arial" w:cs="Arial"/>
              </w:rPr>
              <w:t xml:space="preserve">  </w:t>
            </w:r>
            <w:r w:rsidR="00451EE0">
              <w:rPr>
                <w:rFonts w:ascii="Arial" w:hAnsi="Arial" w:cs="Arial"/>
              </w:rPr>
              <w:t>/</w:t>
            </w:r>
            <w:r w:rsidR="00713BA4">
              <w:rPr>
                <w:rFonts w:ascii="Arial" w:hAnsi="Arial" w:cs="Arial"/>
              </w:rPr>
              <w:t xml:space="preserve">  </w:t>
            </w:r>
            <w:r w:rsidR="00451EE0">
              <w:rPr>
                <w:rFonts w:ascii="Arial" w:hAnsi="Arial" w:cs="Arial"/>
              </w:rPr>
              <w:t>...............</w:t>
            </w:r>
          </w:p>
        </w:tc>
      </w:tr>
      <w:tr w:rsidR="00CC02BB">
        <w:trPr>
          <w:trHeight w:val="175"/>
          <w:jc w:val="center"/>
        </w:trPr>
        <w:tc>
          <w:tcPr>
            <w:tcW w:w="14868" w:type="dxa"/>
            <w:gridSpan w:val="2"/>
            <w:shd w:val="clear" w:color="auto" w:fill="auto"/>
            <w:vAlign w:val="center"/>
          </w:tcPr>
          <w:p w:rsidR="00CC02BB" w:rsidRDefault="00CC02BB">
            <w:pPr>
              <w:jc w:val="center"/>
              <w:rPr>
                <w:rFonts w:ascii="Arial" w:hAnsi="Arial" w:cs="Arial"/>
              </w:rPr>
            </w:pPr>
          </w:p>
        </w:tc>
      </w:tr>
      <w:tr w:rsidR="00451EE0">
        <w:trPr>
          <w:trHeight w:val="607"/>
          <w:jc w:val="center"/>
        </w:trPr>
        <w:tc>
          <w:tcPr>
            <w:tcW w:w="14868" w:type="dxa"/>
            <w:gridSpan w:val="2"/>
            <w:shd w:val="clear" w:color="auto" w:fill="auto"/>
          </w:tcPr>
          <w:p w:rsidR="00451EE0" w:rsidRPr="00625542" w:rsidRDefault="00451EE0" w:rsidP="00AA1D5A">
            <w:pPr>
              <w:rPr>
                <w:rFonts w:ascii="Arial" w:hAnsi="Arial" w:cs="Arial"/>
                <w:color w:val="333333"/>
              </w:rPr>
            </w:pPr>
            <w:r w:rsidRPr="00625542">
              <w:rPr>
                <w:rFonts w:ascii="Arial" w:hAnsi="Arial" w:cs="Arial"/>
                <w:color w:val="333333"/>
              </w:rPr>
              <w:t>Професионално направление:</w:t>
            </w:r>
            <w:r w:rsidR="006F4C22" w:rsidRPr="00625542">
              <w:rPr>
                <w:rFonts w:ascii="Arial" w:hAnsi="Arial" w:cs="Arial"/>
                <w:color w:val="333333"/>
              </w:rPr>
              <w:t xml:space="preserve"> 2.1 Филология</w:t>
            </w:r>
          </w:p>
          <w:p w:rsidR="00124C0F" w:rsidRPr="00625542" w:rsidRDefault="00124C0F" w:rsidP="00AA1D5A">
            <w:pPr>
              <w:rPr>
                <w:rFonts w:ascii="Arial" w:hAnsi="Arial" w:cs="Arial"/>
                <w:color w:val="333333"/>
              </w:rPr>
            </w:pPr>
          </w:p>
          <w:p w:rsidR="00251567" w:rsidRPr="00625542" w:rsidRDefault="00251567" w:rsidP="006F4C22">
            <w:pPr>
              <w:rPr>
                <w:rFonts w:ascii="Arial" w:hAnsi="Arial" w:cs="Arial"/>
                <w:color w:val="333333"/>
              </w:rPr>
            </w:pPr>
            <w:r w:rsidRPr="00625542">
              <w:rPr>
                <w:rFonts w:ascii="Arial" w:hAnsi="Arial" w:cs="Arial"/>
                <w:color w:val="333333"/>
              </w:rPr>
              <w:t>ОКС „</w:t>
            </w:r>
            <w:r w:rsidR="006F4C22" w:rsidRPr="00625542">
              <w:rPr>
                <w:rFonts w:ascii="Arial" w:hAnsi="Arial" w:cs="Arial"/>
                <w:color w:val="333333"/>
              </w:rPr>
              <w:t>бакалавър“</w:t>
            </w:r>
          </w:p>
        </w:tc>
      </w:tr>
      <w:tr w:rsidR="00451EE0">
        <w:trPr>
          <w:trHeight w:val="180"/>
          <w:jc w:val="center"/>
        </w:trPr>
        <w:tc>
          <w:tcPr>
            <w:tcW w:w="14868" w:type="dxa"/>
            <w:gridSpan w:val="2"/>
            <w:shd w:val="clear" w:color="auto" w:fill="auto"/>
          </w:tcPr>
          <w:p w:rsidR="00451EE0" w:rsidRPr="00625542" w:rsidRDefault="00451EE0" w:rsidP="00AA1D5A">
            <w:pPr>
              <w:rPr>
                <w:rFonts w:ascii="Arial" w:hAnsi="Arial" w:cs="Arial"/>
              </w:rPr>
            </w:pPr>
          </w:p>
        </w:tc>
      </w:tr>
      <w:tr w:rsidR="00AA1D5A">
        <w:trPr>
          <w:trHeight w:val="868"/>
          <w:jc w:val="center"/>
        </w:trPr>
        <w:tc>
          <w:tcPr>
            <w:tcW w:w="14868" w:type="dxa"/>
            <w:gridSpan w:val="2"/>
            <w:shd w:val="clear" w:color="auto" w:fill="auto"/>
          </w:tcPr>
          <w:p w:rsidR="009F072D" w:rsidRPr="00625542" w:rsidRDefault="009F072D" w:rsidP="00AA1D5A">
            <w:pPr>
              <w:rPr>
                <w:rFonts w:ascii="Arial" w:hAnsi="Arial" w:cs="Arial"/>
                <w:color w:val="333333"/>
              </w:rPr>
            </w:pPr>
            <w:r w:rsidRPr="00625542">
              <w:rPr>
                <w:rFonts w:ascii="Arial" w:hAnsi="Arial" w:cs="Arial"/>
                <w:color w:val="333333"/>
              </w:rPr>
              <w:t>Специалност:</w:t>
            </w:r>
          </w:p>
          <w:p w:rsidR="00AA1D5A" w:rsidRPr="00625542" w:rsidRDefault="00AA1D5A" w:rsidP="00AA1D5A">
            <w:pPr>
              <w:rPr>
                <w:rFonts w:ascii="Arial" w:hAnsi="Arial" w:cs="Arial"/>
                <w:color w:val="333333"/>
              </w:rPr>
            </w:pPr>
          </w:p>
          <w:tbl>
            <w:tblPr>
              <w:tblpPr w:leftFromText="141" w:rightFromText="141" w:vertAnchor="text" w:horzAnchor="page" w:tblpX="9189" w:tblpY="-7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
              <w:gridCol w:w="455"/>
              <w:gridCol w:w="540"/>
              <w:gridCol w:w="540"/>
              <w:gridCol w:w="450"/>
              <w:gridCol w:w="450"/>
              <w:gridCol w:w="540"/>
              <w:gridCol w:w="540"/>
              <w:gridCol w:w="540"/>
            </w:tblGrid>
            <w:tr w:rsidR="00405ACA" w:rsidRPr="00625542" w:rsidTr="00A865F8">
              <w:tc>
                <w:tcPr>
                  <w:tcW w:w="535" w:type="dxa"/>
                  <w:vAlign w:val="center"/>
                </w:tcPr>
                <w:p w:rsidR="00405ACA" w:rsidRDefault="00405ACA" w:rsidP="00405ACA">
                  <w:pPr>
                    <w:jc w:val="center"/>
                    <w:rPr>
                      <w:rFonts w:ascii="Arial" w:hAnsi="Arial" w:cs="Arial"/>
                      <w:sz w:val="26"/>
                      <w:szCs w:val="26"/>
                      <w:lang w:val="en-US" w:eastAsia="en-US"/>
                    </w:rPr>
                  </w:pPr>
                  <w:r>
                    <w:rPr>
                      <w:rFonts w:ascii="Arial" w:hAnsi="Arial" w:cs="Arial"/>
                      <w:sz w:val="26"/>
                      <w:szCs w:val="26"/>
                    </w:rPr>
                    <w:t>К</w:t>
                  </w:r>
                </w:p>
              </w:tc>
              <w:tc>
                <w:tcPr>
                  <w:tcW w:w="455" w:type="dxa"/>
                  <w:vAlign w:val="center"/>
                </w:tcPr>
                <w:p w:rsidR="00405ACA" w:rsidRDefault="00405ACA" w:rsidP="00405ACA">
                  <w:pPr>
                    <w:jc w:val="center"/>
                    <w:rPr>
                      <w:rFonts w:ascii="Arial" w:hAnsi="Arial" w:cs="Arial"/>
                      <w:sz w:val="26"/>
                      <w:szCs w:val="26"/>
                    </w:rPr>
                  </w:pPr>
                  <w:r>
                    <w:rPr>
                      <w:rFonts w:ascii="Arial" w:hAnsi="Arial" w:cs="Arial"/>
                      <w:sz w:val="26"/>
                      <w:szCs w:val="26"/>
                    </w:rPr>
                    <w:t>Н</w:t>
                  </w:r>
                </w:p>
              </w:tc>
              <w:tc>
                <w:tcPr>
                  <w:tcW w:w="540" w:type="dxa"/>
                  <w:vAlign w:val="center"/>
                </w:tcPr>
                <w:p w:rsidR="00405ACA" w:rsidRDefault="00405ACA" w:rsidP="00405ACA">
                  <w:pPr>
                    <w:jc w:val="center"/>
                    <w:rPr>
                      <w:rFonts w:ascii="Arial" w:hAnsi="Arial" w:cs="Arial"/>
                      <w:sz w:val="26"/>
                      <w:szCs w:val="26"/>
                    </w:rPr>
                  </w:pPr>
                  <w:r>
                    <w:rPr>
                      <w:rFonts w:ascii="Arial" w:hAnsi="Arial" w:cs="Arial"/>
                      <w:sz w:val="26"/>
                      <w:szCs w:val="26"/>
                    </w:rPr>
                    <w:t>А</w:t>
                  </w:r>
                </w:p>
              </w:tc>
              <w:tc>
                <w:tcPr>
                  <w:tcW w:w="540" w:type="dxa"/>
                  <w:vAlign w:val="center"/>
                </w:tcPr>
                <w:p w:rsidR="00405ACA" w:rsidRDefault="00405ACA" w:rsidP="00405ACA">
                  <w:pPr>
                    <w:jc w:val="center"/>
                    <w:rPr>
                      <w:rFonts w:ascii="Arial" w:hAnsi="Arial" w:cs="Arial"/>
                      <w:sz w:val="26"/>
                      <w:szCs w:val="26"/>
                    </w:rPr>
                  </w:pPr>
                  <w:r>
                    <w:rPr>
                      <w:rFonts w:ascii="Arial" w:hAnsi="Arial" w:cs="Arial"/>
                      <w:sz w:val="26"/>
                      <w:szCs w:val="26"/>
                    </w:rPr>
                    <w:t>1</w:t>
                  </w:r>
                </w:p>
              </w:tc>
              <w:tc>
                <w:tcPr>
                  <w:tcW w:w="450" w:type="dxa"/>
                  <w:vAlign w:val="center"/>
                </w:tcPr>
                <w:p w:rsidR="00405ACA" w:rsidRDefault="00405ACA" w:rsidP="00405ACA">
                  <w:pPr>
                    <w:jc w:val="center"/>
                    <w:rPr>
                      <w:rFonts w:ascii="Arial" w:hAnsi="Arial" w:cs="Arial"/>
                      <w:sz w:val="26"/>
                      <w:szCs w:val="26"/>
                    </w:rPr>
                  </w:pPr>
                  <w:r>
                    <w:rPr>
                      <w:rFonts w:ascii="Arial" w:hAnsi="Arial" w:cs="Arial"/>
                      <w:sz w:val="26"/>
                      <w:szCs w:val="26"/>
                    </w:rPr>
                    <w:t>7</w:t>
                  </w:r>
                </w:p>
              </w:tc>
              <w:tc>
                <w:tcPr>
                  <w:tcW w:w="450" w:type="dxa"/>
                  <w:vAlign w:val="center"/>
                </w:tcPr>
                <w:p w:rsidR="00405ACA" w:rsidRDefault="00405ACA" w:rsidP="00405ACA">
                  <w:pPr>
                    <w:jc w:val="center"/>
                    <w:rPr>
                      <w:rFonts w:ascii="Arial" w:hAnsi="Arial" w:cs="Arial"/>
                      <w:sz w:val="26"/>
                      <w:szCs w:val="26"/>
                    </w:rPr>
                  </w:pPr>
                  <w:r>
                    <w:rPr>
                      <w:rFonts w:ascii="Arial" w:hAnsi="Arial" w:cs="Arial"/>
                      <w:sz w:val="26"/>
                      <w:szCs w:val="26"/>
                    </w:rPr>
                    <w:t>0</w:t>
                  </w:r>
                </w:p>
              </w:tc>
              <w:tc>
                <w:tcPr>
                  <w:tcW w:w="540" w:type="dxa"/>
                  <w:vAlign w:val="center"/>
                </w:tcPr>
                <w:p w:rsidR="00405ACA" w:rsidRDefault="00405ACA" w:rsidP="00405ACA">
                  <w:pPr>
                    <w:jc w:val="center"/>
                    <w:rPr>
                      <w:rFonts w:ascii="Arial" w:hAnsi="Arial" w:cs="Arial"/>
                      <w:sz w:val="26"/>
                      <w:szCs w:val="26"/>
                    </w:rPr>
                  </w:pPr>
                  <w:r>
                    <w:rPr>
                      <w:rFonts w:ascii="Arial" w:hAnsi="Arial" w:cs="Arial"/>
                      <w:sz w:val="26"/>
                      <w:szCs w:val="26"/>
                    </w:rPr>
                    <w:t>1</w:t>
                  </w:r>
                </w:p>
              </w:tc>
              <w:tc>
                <w:tcPr>
                  <w:tcW w:w="540" w:type="dxa"/>
                  <w:vAlign w:val="center"/>
                </w:tcPr>
                <w:p w:rsidR="00405ACA" w:rsidRDefault="00405ACA" w:rsidP="00405ACA">
                  <w:pPr>
                    <w:jc w:val="center"/>
                    <w:rPr>
                      <w:rFonts w:ascii="Arial" w:hAnsi="Arial" w:cs="Arial"/>
                      <w:sz w:val="26"/>
                      <w:szCs w:val="26"/>
                    </w:rPr>
                  </w:pPr>
                  <w:r>
                    <w:rPr>
                      <w:rFonts w:ascii="Arial" w:hAnsi="Arial" w:cs="Arial"/>
                      <w:sz w:val="26"/>
                      <w:szCs w:val="26"/>
                    </w:rPr>
                    <w:t>2</w:t>
                  </w:r>
                </w:p>
              </w:tc>
              <w:tc>
                <w:tcPr>
                  <w:tcW w:w="540" w:type="dxa"/>
                  <w:vAlign w:val="center"/>
                </w:tcPr>
                <w:p w:rsidR="00405ACA" w:rsidRDefault="00405ACA" w:rsidP="00405ACA">
                  <w:pPr>
                    <w:jc w:val="center"/>
                    <w:rPr>
                      <w:rFonts w:ascii="Arial" w:hAnsi="Arial" w:cs="Arial"/>
                      <w:sz w:val="26"/>
                      <w:szCs w:val="26"/>
                    </w:rPr>
                  </w:pPr>
                  <w:r>
                    <w:rPr>
                      <w:rFonts w:ascii="Arial" w:hAnsi="Arial" w:cs="Arial"/>
                      <w:sz w:val="26"/>
                      <w:szCs w:val="26"/>
                    </w:rPr>
                    <w:t>3</w:t>
                  </w:r>
                </w:p>
              </w:tc>
            </w:tr>
          </w:tbl>
          <w:p w:rsidR="00251567" w:rsidRPr="00625542" w:rsidRDefault="00405ACA" w:rsidP="00AA1D5A">
            <w:pPr>
              <w:rPr>
                <w:rFonts w:ascii="Arial" w:hAnsi="Arial" w:cs="Arial"/>
                <w:color w:val="333333"/>
              </w:rPr>
            </w:pPr>
            <w:bookmarkStart w:id="1" w:name="_Hlk164332472"/>
            <w:r w:rsidRPr="00405ACA">
              <w:rPr>
                <w:rFonts w:ascii="Arial" w:hAnsi="Arial" w:cs="Arial"/>
                <w:color w:val="333333"/>
              </w:rPr>
              <w:t>АРМЕНИСТИКА И КАВКАЗОЛОГИЯ</w:t>
            </w:r>
            <w:bookmarkEnd w:id="1"/>
          </w:p>
        </w:tc>
      </w:tr>
      <w:tr w:rsidR="008130E2">
        <w:trPr>
          <w:trHeight w:val="338"/>
          <w:jc w:val="center"/>
        </w:trPr>
        <w:tc>
          <w:tcPr>
            <w:tcW w:w="14868" w:type="dxa"/>
            <w:gridSpan w:val="2"/>
            <w:shd w:val="clear" w:color="auto" w:fill="auto"/>
          </w:tcPr>
          <w:p w:rsidR="008130E2" w:rsidRPr="00625542" w:rsidRDefault="008130E2" w:rsidP="00AA1D5A">
            <w:pPr>
              <w:rPr>
                <w:rFonts w:ascii="Arial" w:hAnsi="Arial" w:cs="Arial"/>
              </w:rPr>
            </w:pPr>
          </w:p>
        </w:tc>
      </w:tr>
      <w:tr w:rsidR="00AA1D5A">
        <w:trPr>
          <w:trHeight w:val="598"/>
          <w:jc w:val="center"/>
        </w:trPr>
        <w:tc>
          <w:tcPr>
            <w:tcW w:w="14868" w:type="dxa"/>
            <w:gridSpan w:val="2"/>
            <w:shd w:val="clear" w:color="auto" w:fill="auto"/>
          </w:tcPr>
          <w:p w:rsidR="008F1E0F" w:rsidRPr="00625542" w:rsidRDefault="00251567" w:rsidP="00AA1D5A">
            <w:pPr>
              <w:rPr>
                <w:rFonts w:ascii="Arial" w:hAnsi="Arial" w:cs="Arial"/>
                <w:color w:val="333333"/>
              </w:rPr>
            </w:pPr>
            <w:r w:rsidRPr="00625542">
              <w:rPr>
                <w:rFonts w:ascii="Arial" w:hAnsi="Arial" w:cs="Arial"/>
                <w:color w:val="333333"/>
              </w:rPr>
              <w:t xml:space="preserve">Форма на </w:t>
            </w:r>
            <w:r w:rsidR="009F072D" w:rsidRPr="00625542">
              <w:rPr>
                <w:rFonts w:ascii="Arial" w:hAnsi="Arial" w:cs="Arial"/>
                <w:color w:val="333333"/>
              </w:rPr>
              <w:t>обучение:</w:t>
            </w:r>
            <w:r w:rsidR="006F4C22" w:rsidRPr="00625542">
              <w:rPr>
                <w:rFonts w:ascii="Arial" w:hAnsi="Arial" w:cs="Arial"/>
                <w:color w:val="333333"/>
              </w:rPr>
              <w:t xml:space="preserve"> редовна форма на обучение</w:t>
            </w:r>
          </w:p>
          <w:p w:rsidR="00AA1D5A" w:rsidRPr="00625542" w:rsidRDefault="00CC2267" w:rsidP="00AA1D5A">
            <w:pPr>
              <w:rPr>
                <w:rFonts w:ascii="Arial" w:hAnsi="Arial" w:cs="Arial"/>
                <w:color w:val="333333"/>
              </w:rPr>
            </w:pPr>
            <w:r w:rsidRPr="00625542">
              <w:rPr>
                <w:rFonts w:ascii="Arial" w:hAnsi="Arial" w:cs="Arial"/>
                <w:color w:val="333333"/>
              </w:rPr>
              <w:t xml:space="preserve">Продължителност на обучението (брой </w:t>
            </w:r>
            <w:r w:rsidR="00251567" w:rsidRPr="00625542">
              <w:rPr>
                <w:rFonts w:ascii="Arial" w:hAnsi="Arial" w:cs="Arial"/>
                <w:color w:val="333333"/>
              </w:rPr>
              <w:t>семестри</w:t>
            </w:r>
            <w:r w:rsidRPr="00625542">
              <w:rPr>
                <w:rFonts w:ascii="Arial" w:hAnsi="Arial" w:cs="Arial"/>
                <w:color w:val="333333"/>
              </w:rPr>
              <w:t>)</w:t>
            </w:r>
            <w:r w:rsidR="00251567" w:rsidRPr="00625542">
              <w:rPr>
                <w:rFonts w:ascii="Arial" w:hAnsi="Arial" w:cs="Arial"/>
                <w:color w:val="333333"/>
              </w:rPr>
              <w:t>:</w:t>
            </w:r>
            <w:r w:rsidR="006F4C22" w:rsidRPr="00625542">
              <w:rPr>
                <w:rFonts w:ascii="Arial" w:hAnsi="Arial" w:cs="Arial"/>
                <w:color w:val="333333"/>
              </w:rPr>
              <w:t xml:space="preserve"> 8 /осем/ семестъра</w:t>
            </w:r>
          </w:p>
        </w:tc>
      </w:tr>
      <w:tr w:rsidR="00A17FF5">
        <w:trPr>
          <w:trHeight w:val="340"/>
          <w:jc w:val="center"/>
        </w:trPr>
        <w:tc>
          <w:tcPr>
            <w:tcW w:w="14868" w:type="dxa"/>
            <w:gridSpan w:val="2"/>
            <w:shd w:val="clear" w:color="auto" w:fill="auto"/>
          </w:tcPr>
          <w:p w:rsidR="00A17FF5" w:rsidRPr="00625542" w:rsidRDefault="00A17FF5" w:rsidP="00AA1D5A">
            <w:pPr>
              <w:rPr>
                <w:rFonts w:ascii="Arial" w:hAnsi="Arial" w:cs="Arial"/>
              </w:rPr>
            </w:pPr>
          </w:p>
        </w:tc>
      </w:tr>
      <w:tr w:rsidR="008130E2" w:rsidTr="00625542">
        <w:trPr>
          <w:trHeight w:val="63"/>
          <w:jc w:val="center"/>
        </w:trPr>
        <w:tc>
          <w:tcPr>
            <w:tcW w:w="14868" w:type="dxa"/>
            <w:gridSpan w:val="2"/>
            <w:shd w:val="clear" w:color="auto" w:fill="auto"/>
          </w:tcPr>
          <w:p w:rsidR="00405ACA" w:rsidRPr="00405ACA" w:rsidRDefault="00405ACA" w:rsidP="00405ACA">
            <w:pPr>
              <w:rPr>
                <w:rFonts w:ascii="Arial" w:hAnsi="Arial" w:cs="Arial"/>
                <w:color w:val="333333"/>
              </w:rPr>
            </w:pPr>
            <w:r w:rsidRPr="00405ACA">
              <w:rPr>
                <w:rFonts w:ascii="Arial" w:hAnsi="Arial" w:cs="Arial"/>
                <w:color w:val="333333"/>
              </w:rPr>
              <w:t>Филолог арменист и кавказолог или</w:t>
            </w:r>
          </w:p>
          <w:p w:rsidR="006F4C22" w:rsidRPr="00625542" w:rsidRDefault="00405ACA" w:rsidP="00405ACA">
            <w:pPr>
              <w:rPr>
                <w:rFonts w:ascii="Arial" w:hAnsi="Arial" w:cs="Arial"/>
                <w:color w:val="333333"/>
              </w:rPr>
            </w:pPr>
            <w:r w:rsidRPr="00405ACA">
              <w:rPr>
                <w:rFonts w:ascii="Arial" w:hAnsi="Arial" w:cs="Arial"/>
                <w:color w:val="333333"/>
              </w:rPr>
              <w:t>Филолог арменист и кавказолог. Учител по арменски език и литература</w:t>
            </w:r>
          </w:p>
        </w:tc>
      </w:tr>
    </w:tbl>
    <w:p w:rsidR="00181649" w:rsidRDefault="007C0376" w:rsidP="00181649">
      <w:pPr>
        <w:rPr>
          <w:rFonts w:ascii="Arial" w:hAnsi="Arial" w:cs="Arial"/>
          <w:b/>
        </w:rPr>
      </w:pPr>
      <w:r w:rsidRPr="00FD6586">
        <w:rPr>
          <w:lang w:val="ru-RU"/>
        </w:rPr>
        <w:br w:type="page"/>
      </w:r>
      <w:r w:rsidRPr="00583924">
        <w:rPr>
          <w:rFonts w:ascii="Arial" w:hAnsi="Arial" w:cs="Arial"/>
          <w:b/>
        </w:rPr>
        <w:lastRenderedPageBreak/>
        <w:t xml:space="preserve"> </w:t>
      </w:r>
      <w:r w:rsidR="00181649" w:rsidRPr="00583924">
        <w:rPr>
          <w:rFonts w:ascii="Arial" w:hAnsi="Arial" w:cs="Arial"/>
          <w:b/>
        </w:rPr>
        <w:t>Квалификационна характеристика</w:t>
      </w:r>
    </w:p>
    <w:p w:rsidR="00181649" w:rsidRDefault="00181649" w:rsidP="00181649">
      <w:pPr>
        <w:rPr>
          <w:rFonts w:ascii="Arial" w:hAnsi="Arial" w:cs="Arial"/>
          <w:b/>
          <w:i/>
          <w:sz w:val="22"/>
          <w:szCs w:val="22"/>
        </w:rPr>
      </w:pPr>
    </w:p>
    <w:p w:rsidR="00181649" w:rsidRPr="00EA074A" w:rsidRDefault="00181649" w:rsidP="00181649">
      <w:pPr>
        <w:rPr>
          <w:rFonts w:ascii="Arial" w:hAnsi="Arial" w:cs="Arial"/>
          <w:b/>
          <w:iCs/>
          <w:sz w:val="22"/>
          <w:szCs w:val="22"/>
        </w:rPr>
      </w:pPr>
      <w:r w:rsidRPr="00E7540D">
        <w:rPr>
          <w:rFonts w:ascii="Arial" w:hAnsi="Arial" w:cs="Arial"/>
          <w:b/>
          <w:iCs/>
          <w:sz w:val="22"/>
          <w:szCs w:val="22"/>
        </w:rPr>
        <w:t>Специалност:</w:t>
      </w:r>
      <w:r w:rsidR="00405ACA" w:rsidRPr="00405ACA">
        <w:rPr>
          <w:rFonts w:ascii="Arial" w:hAnsi="Arial" w:cs="Arial"/>
          <w:b/>
          <w:iCs/>
          <w:sz w:val="22"/>
          <w:szCs w:val="22"/>
        </w:rPr>
        <w:t>Арменистика и кавказология</w:t>
      </w:r>
    </w:p>
    <w:p w:rsidR="00181649" w:rsidRDefault="00181649" w:rsidP="00181649">
      <w:pPr>
        <w:rPr>
          <w:rFonts w:ascii="Arial" w:hAnsi="Arial" w:cs="Arial"/>
          <w:sz w:val="22"/>
          <w:szCs w:val="22"/>
        </w:rPr>
      </w:pPr>
    </w:p>
    <w:p w:rsidR="00181649" w:rsidRDefault="00181649" w:rsidP="00181649">
      <w:pPr>
        <w:numPr>
          <w:ilvl w:val="0"/>
          <w:numId w:val="1"/>
        </w:numPr>
        <w:rPr>
          <w:rFonts w:ascii="Arial" w:hAnsi="Arial" w:cs="Arial"/>
          <w:b/>
          <w:sz w:val="22"/>
          <w:szCs w:val="22"/>
        </w:rPr>
      </w:pPr>
      <w:bookmarkStart w:id="2" w:name="_Hlk121322978"/>
      <w:r w:rsidRPr="00715BD3">
        <w:rPr>
          <w:rFonts w:ascii="Arial" w:hAnsi="Arial" w:cs="Arial"/>
          <w:b/>
          <w:sz w:val="22"/>
          <w:szCs w:val="22"/>
        </w:rPr>
        <w:t>Насоченост</w:t>
      </w:r>
      <w:r>
        <w:rPr>
          <w:rFonts w:ascii="Arial" w:hAnsi="Arial" w:cs="Arial"/>
          <w:b/>
          <w:sz w:val="22"/>
          <w:szCs w:val="22"/>
        </w:rPr>
        <w:t>, образователни цели</w:t>
      </w:r>
    </w:p>
    <w:p w:rsidR="00181649" w:rsidRPr="00715BD3" w:rsidRDefault="00181649" w:rsidP="005F5590">
      <w:pPr>
        <w:rPr>
          <w:rFonts w:ascii="Arial" w:hAnsi="Arial" w:cs="Arial"/>
          <w:b/>
          <w:sz w:val="22"/>
          <w:szCs w:val="22"/>
        </w:rPr>
      </w:pPr>
    </w:p>
    <w:p w:rsidR="00405ACA" w:rsidRPr="00405ACA" w:rsidRDefault="00405ACA" w:rsidP="00405ACA">
      <w:pPr>
        <w:numPr>
          <w:ilvl w:val="0"/>
          <w:numId w:val="4"/>
        </w:numPr>
        <w:ind w:hanging="474"/>
        <w:jc w:val="both"/>
        <w:rPr>
          <w:rFonts w:ascii="Arial" w:hAnsi="Arial" w:cs="Arial"/>
          <w:sz w:val="22"/>
          <w:szCs w:val="22"/>
          <w:lang w:val="en-US" w:eastAsia="en-US"/>
        </w:rPr>
      </w:pPr>
      <w:r>
        <w:rPr>
          <w:rFonts w:ascii="Arial" w:hAnsi="Arial" w:cs="Arial"/>
          <w:sz w:val="22"/>
          <w:szCs w:val="22"/>
        </w:rPr>
        <w:t>Ориентираност на обучението към интереса на студентите, без от това да страда качеството на обучението.</w:t>
      </w:r>
    </w:p>
    <w:p w:rsidR="00405ACA" w:rsidRPr="00405ACA" w:rsidRDefault="00405ACA" w:rsidP="00405ACA">
      <w:pPr>
        <w:numPr>
          <w:ilvl w:val="0"/>
          <w:numId w:val="4"/>
        </w:numPr>
        <w:ind w:left="709" w:hanging="283"/>
        <w:jc w:val="both"/>
        <w:rPr>
          <w:rFonts w:ascii="Arial" w:hAnsi="Arial" w:cs="Arial"/>
          <w:sz w:val="22"/>
          <w:szCs w:val="22"/>
          <w:lang w:val="en-US" w:eastAsia="en-US"/>
        </w:rPr>
      </w:pPr>
      <w:r>
        <w:rPr>
          <w:rFonts w:ascii="Arial" w:hAnsi="Arial" w:cs="Arial"/>
          <w:sz w:val="22"/>
          <w:szCs w:val="22"/>
        </w:rPr>
        <w:t>Проблемност, алтернативност и широка културна основа на учебните курсове.</w:t>
      </w:r>
    </w:p>
    <w:p w:rsidR="00405ACA" w:rsidRDefault="00405ACA" w:rsidP="00405ACA">
      <w:pPr>
        <w:numPr>
          <w:ilvl w:val="0"/>
          <w:numId w:val="4"/>
        </w:numPr>
        <w:ind w:left="709" w:hanging="283"/>
        <w:jc w:val="both"/>
        <w:rPr>
          <w:rFonts w:ascii="Arial" w:hAnsi="Arial" w:cs="Arial"/>
          <w:sz w:val="22"/>
          <w:szCs w:val="22"/>
          <w:lang w:val="en-US" w:eastAsia="en-US"/>
        </w:rPr>
      </w:pPr>
      <w:r>
        <w:rPr>
          <w:rFonts w:ascii="Arial" w:hAnsi="Arial" w:cs="Arial"/>
          <w:sz w:val="22"/>
          <w:szCs w:val="22"/>
        </w:rPr>
        <w:t xml:space="preserve">Особено важно място се отделя на курса по практически арменски език, който се провежда последователно през целия период на следването и цели подготовката на специалисти, владеещи добре изучавания език и способни да го прилагат в широк спектър от професионални области. Теоретичните дисциплини създават основа за по-нататъшна компетентна специализирана работа в различни аспекти на арменистиката и кавказологията, както и за естественото натрупване и актуализиране на придобиваните знания. </w:t>
      </w:r>
    </w:p>
    <w:p w:rsidR="00181649" w:rsidRPr="00243FFC" w:rsidRDefault="00181649" w:rsidP="00405ACA">
      <w:pPr>
        <w:numPr>
          <w:ilvl w:val="0"/>
          <w:numId w:val="1"/>
        </w:numPr>
        <w:jc w:val="both"/>
        <w:rPr>
          <w:rFonts w:ascii="Arial" w:hAnsi="Arial" w:cs="Arial"/>
          <w:b/>
          <w:sz w:val="22"/>
          <w:szCs w:val="22"/>
        </w:rPr>
      </w:pPr>
      <w:r w:rsidRPr="00715BD3">
        <w:rPr>
          <w:rFonts w:ascii="Arial" w:hAnsi="Arial" w:cs="Arial"/>
          <w:b/>
          <w:sz w:val="22"/>
          <w:szCs w:val="22"/>
        </w:rPr>
        <w:t>Обучение</w:t>
      </w:r>
      <w:r>
        <w:rPr>
          <w:rFonts w:ascii="Arial" w:hAnsi="Arial" w:cs="Arial"/>
          <w:b/>
          <w:sz w:val="22"/>
          <w:szCs w:val="22"/>
        </w:rPr>
        <w:t xml:space="preserve"> </w:t>
      </w:r>
      <w:r w:rsidRPr="005A2215">
        <w:rPr>
          <w:rFonts w:ascii="Arial" w:hAnsi="Arial" w:cs="Arial"/>
          <w:b/>
          <w:sz w:val="22"/>
          <w:szCs w:val="22"/>
          <w:lang w:val="ru-RU"/>
        </w:rPr>
        <w:t>(</w:t>
      </w:r>
      <w:r>
        <w:rPr>
          <w:rFonts w:ascii="Arial" w:hAnsi="Arial" w:cs="Arial"/>
          <w:b/>
          <w:sz w:val="22"/>
          <w:szCs w:val="22"/>
        </w:rPr>
        <w:t>знания и умения, необходими за успешна професионална дейност; общо теоретична и специална подготовка и др.</w:t>
      </w:r>
      <w:r w:rsidRPr="005A2215">
        <w:rPr>
          <w:rFonts w:ascii="Arial" w:hAnsi="Arial" w:cs="Arial"/>
          <w:b/>
          <w:sz w:val="22"/>
          <w:szCs w:val="22"/>
          <w:lang w:val="ru-RU"/>
        </w:rPr>
        <w:t>)</w:t>
      </w:r>
    </w:p>
    <w:p w:rsidR="00181649" w:rsidRPr="005A2215" w:rsidRDefault="00181649" w:rsidP="00181649">
      <w:pPr>
        <w:rPr>
          <w:rFonts w:ascii="Arial" w:hAnsi="Arial" w:cs="Arial"/>
          <w:b/>
          <w:sz w:val="22"/>
          <w:szCs w:val="22"/>
          <w:lang w:val="ru-RU"/>
        </w:rPr>
      </w:pPr>
    </w:p>
    <w:p w:rsidR="00405ACA" w:rsidRPr="00405ACA" w:rsidRDefault="00405ACA" w:rsidP="00405ACA">
      <w:pPr>
        <w:numPr>
          <w:ilvl w:val="0"/>
          <w:numId w:val="6"/>
        </w:numPr>
        <w:jc w:val="both"/>
        <w:rPr>
          <w:rFonts w:ascii="Arial" w:hAnsi="Arial" w:cs="Arial"/>
          <w:sz w:val="22"/>
          <w:szCs w:val="22"/>
          <w:lang w:val="en-US" w:eastAsia="en-US"/>
        </w:rPr>
      </w:pPr>
      <w:r>
        <w:rPr>
          <w:rFonts w:ascii="Arial" w:hAnsi="Arial" w:cs="Arial"/>
          <w:sz w:val="22"/>
          <w:szCs w:val="22"/>
        </w:rPr>
        <w:t>Учебен процес, при който се търси обратната връзка със студентите.</w:t>
      </w:r>
    </w:p>
    <w:p w:rsidR="00405ACA" w:rsidRPr="00405ACA" w:rsidRDefault="00405ACA" w:rsidP="00405ACA">
      <w:pPr>
        <w:numPr>
          <w:ilvl w:val="0"/>
          <w:numId w:val="6"/>
        </w:numPr>
        <w:jc w:val="both"/>
        <w:rPr>
          <w:rFonts w:ascii="Arial" w:hAnsi="Arial" w:cs="Arial"/>
          <w:sz w:val="22"/>
          <w:szCs w:val="22"/>
          <w:lang w:val="en-US" w:eastAsia="en-US"/>
        </w:rPr>
      </w:pPr>
      <w:r>
        <w:rPr>
          <w:rFonts w:ascii="Arial" w:hAnsi="Arial" w:cs="Arial"/>
          <w:sz w:val="22"/>
          <w:szCs w:val="22"/>
        </w:rPr>
        <w:t>Стимулиране на автономността, критичното мислене и творческия дух в обучението.</w:t>
      </w:r>
    </w:p>
    <w:p w:rsidR="00405ACA" w:rsidRPr="00405ACA" w:rsidRDefault="00405ACA" w:rsidP="00405ACA">
      <w:pPr>
        <w:numPr>
          <w:ilvl w:val="0"/>
          <w:numId w:val="6"/>
        </w:numPr>
        <w:jc w:val="both"/>
        <w:rPr>
          <w:rFonts w:ascii="Arial" w:hAnsi="Arial" w:cs="Arial"/>
          <w:sz w:val="22"/>
          <w:szCs w:val="22"/>
          <w:lang w:val="en-US" w:eastAsia="en-US"/>
        </w:rPr>
      </w:pPr>
      <w:r w:rsidRPr="00405ACA">
        <w:rPr>
          <w:rFonts w:ascii="Arial" w:hAnsi="Arial" w:cs="Arial"/>
          <w:sz w:val="22"/>
          <w:szCs w:val="22"/>
        </w:rPr>
        <w:t>Стремеж към обвързаност на теоретичните знания с практическите проблеми на ежедневието.</w:t>
      </w:r>
    </w:p>
    <w:p w:rsidR="00405ACA" w:rsidRPr="00405ACA" w:rsidRDefault="00405ACA" w:rsidP="00405ACA">
      <w:pPr>
        <w:numPr>
          <w:ilvl w:val="0"/>
          <w:numId w:val="6"/>
        </w:numPr>
        <w:jc w:val="both"/>
        <w:rPr>
          <w:rFonts w:ascii="Arial" w:hAnsi="Arial" w:cs="Arial"/>
          <w:sz w:val="22"/>
          <w:szCs w:val="22"/>
          <w:lang w:val="en-US" w:eastAsia="en-US"/>
        </w:rPr>
      </w:pPr>
      <w:r w:rsidRPr="00405ACA">
        <w:rPr>
          <w:rFonts w:ascii="Arial" w:hAnsi="Arial" w:cs="Arial"/>
          <w:sz w:val="22"/>
          <w:szCs w:val="22"/>
        </w:rPr>
        <w:t xml:space="preserve">Факултативен педагогически модул за придобиване на професионална квалификация „учител" </w:t>
      </w:r>
    </w:p>
    <w:p w:rsidR="00181649" w:rsidRPr="00243FFC" w:rsidRDefault="00181649" w:rsidP="00405ACA">
      <w:pPr>
        <w:jc w:val="both"/>
        <w:rPr>
          <w:rFonts w:ascii="Arial" w:hAnsi="Arial" w:cs="Arial"/>
          <w:b/>
          <w:sz w:val="22"/>
          <w:szCs w:val="22"/>
        </w:rPr>
      </w:pPr>
    </w:p>
    <w:p w:rsidR="00181649" w:rsidRDefault="005A2215" w:rsidP="005A2215">
      <w:pPr>
        <w:numPr>
          <w:ilvl w:val="0"/>
          <w:numId w:val="1"/>
        </w:numPr>
        <w:tabs>
          <w:tab w:val="clear" w:pos="720"/>
        </w:tabs>
        <w:ind w:hanging="436"/>
        <w:rPr>
          <w:rFonts w:ascii="Arial" w:hAnsi="Arial" w:cs="Arial"/>
          <w:b/>
          <w:sz w:val="22"/>
          <w:szCs w:val="22"/>
        </w:rPr>
      </w:pPr>
      <w:r w:rsidRPr="005A2215">
        <w:rPr>
          <w:rFonts w:ascii="Arial" w:hAnsi="Arial" w:cs="Arial"/>
          <w:b/>
          <w:sz w:val="22"/>
          <w:szCs w:val="22"/>
        </w:rPr>
        <w:t>Професионални и о</w:t>
      </w:r>
      <w:r w:rsidR="00181649" w:rsidRPr="005A2215">
        <w:rPr>
          <w:rFonts w:ascii="Arial" w:hAnsi="Arial" w:cs="Arial"/>
          <w:b/>
          <w:sz w:val="22"/>
          <w:szCs w:val="22"/>
        </w:rPr>
        <w:t>бщи компетен</w:t>
      </w:r>
      <w:r w:rsidRPr="005A2215">
        <w:rPr>
          <w:rFonts w:ascii="Arial" w:hAnsi="Arial" w:cs="Arial"/>
          <w:b/>
          <w:sz w:val="22"/>
          <w:szCs w:val="22"/>
        </w:rPr>
        <w:t>ции</w:t>
      </w:r>
      <w:r>
        <w:rPr>
          <w:rFonts w:ascii="Arial" w:hAnsi="Arial" w:cs="Arial"/>
          <w:b/>
          <w:sz w:val="22"/>
          <w:szCs w:val="22"/>
        </w:rPr>
        <w:t>,</w:t>
      </w:r>
      <w:r w:rsidR="00181649" w:rsidRPr="005A2215">
        <w:rPr>
          <w:rFonts w:ascii="Arial" w:hAnsi="Arial" w:cs="Arial"/>
          <w:b/>
          <w:sz w:val="22"/>
          <w:szCs w:val="22"/>
        </w:rPr>
        <w:t xml:space="preserve"> специфични компете</w:t>
      </w:r>
      <w:r w:rsidR="005F5590" w:rsidRPr="005A2215">
        <w:rPr>
          <w:rFonts w:ascii="Arial" w:hAnsi="Arial" w:cs="Arial"/>
          <w:b/>
          <w:sz w:val="22"/>
          <w:szCs w:val="22"/>
        </w:rPr>
        <w:t>н</w:t>
      </w:r>
      <w:r>
        <w:rPr>
          <w:rFonts w:ascii="Arial" w:hAnsi="Arial" w:cs="Arial"/>
          <w:b/>
          <w:sz w:val="22"/>
          <w:szCs w:val="22"/>
        </w:rPr>
        <w:t>ции</w:t>
      </w:r>
    </w:p>
    <w:p w:rsidR="00801EC2" w:rsidRDefault="00801EC2" w:rsidP="00801EC2">
      <w:pPr>
        <w:rPr>
          <w:rFonts w:ascii="Arial" w:hAnsi="Arial" w:cs="Arial"/>
          <w:b/>
          <w:sz w:val="22"/>
          <w:szCs w:val="22"/>
        </w:rPr>
      </w:pPr>
    </w:p>
    <w:p w:rsidR="00405ACA" w:rsidRPr="00405ACA" w:rsidRDefault="00405ACA" w:rsidP="00405ACA">
      <w:pPr>
        <w:numPr>
          <w:ilvl w:val="0"/>
          <w:numId w:val="7"/>
        </w:numPr>
        <w:rPr>
          <w:rFonts w:ascii="Arial" w:hAnsi="Arial" w:cs="Arial"/>
          <w:sz w:val="22"/>
          <w:szCs w:val="22"/>
          <w:lang w:val="en-US" w:eastAsia="en-US"/>
        </w:rPr>
      </w:pPr>
      <w:r>
        <w:rPr>
          <w:rFonts w:ascii="Arial" w:hAnsi="Arial" w:cs="Arial"/>
          <w:sz w:val="22"/>
          <w:szCs w:val="22"/>
        </w:rPr>
        <w:t>Висока степен на комуникативна компетентност по арменски език на професионално равнище.</w:t>
      </w:r>
    </w:p>
    <w:p w:rsidR="00405ACA" w:rsidRPr="00405ACA" w:rsidRDefault="00405ACA" w:rsidP="00405ACA">
      <w:pPr>
        <w:numPr>
          <w:ilvl w:val="0"/>
          <w:numId w:val="7"/>
        </w:numPr>
        <w:rPr>
          <w:rFonts w:ascii="Arial" w:hAnsi="Arial" w:cs="Arial"/>
          <w:sz w:val="22"/>
          <w:szCs w:val="22"/>
          <w:lang w:val="en-US" w:eastAsia="en-US"/>
        </w:rPr>
      </w:pPr>
      <w:r>
        <w:rPr>
          <w:rFonts w:ascii="Arial" w:hAnsi="Arial" w:cs="Arial"/>
          <w:sz w:val="22"/>
          <w:szCs w:val="22"/>
        </w:rPr>
        <w:t>Компетентност в областта на културата и литературата на арменския народ.</w:t>
      </w:r>
    </w:p>
    <w:p w:rsidR="00405ACA" w:rsidRDefault="00405ACA" w:rsidP="00405ACA">
      <w:pPr>
        <w:numPr>
          <w:ilvl w:val="0"/>
          <w:numId w:val="7"/>
        </w:numPr>
        <w:rPr>
          <w:rFonts w:ascii="Arial" w:hAnsi="Arial" w:cs="Arial"/>
          <w:sz w:val="22"/>
          <w:szCs w:val="22"/>
          <w:lang w:val="en-US" w:eastAsia="en-US"/>
        </w:rPr>
      </w:pPr>
      <w:r>
        <w:rPr>
          <w:rFonts w:ascii="Arial" w:hAnsi="Arial" w:cs="Arial"/>
          <w:sz w:val="22"/>
          <w:szCs w:val="22"/>
        </w:rPr>
        <w:t>Компетентност в областта на теоретичната и приложна лингвистика и граматичната система на арменския език, даваща възможност за професионална изява в областта на превода и специализирания превод, в редакцията на преводни текстове, опознаване на историята и културата на кавказките народи, съвременните процеси, протичащи в този регион, компетентност в областта на научната дейност (не само свързана с Арменистиката и кавказологията), в журналистиката и правителствените и неправителствени институции и организации.</w:t>
      </w:r>
    </w:p>
    <w:p w:rsidR="00181649" w:rsidRDefault="00181649" w:rsidP="00181649">
      <w:pPr>
        <w:rPr>
          <w:rFonts w:ascii="Arial" w:hAnsi="Arial" w:cs="Arial"/>
          <w:b/>
          <w:sz w:val="22"/>
          <w:szCs w:val="22"/>
        </w:rPr>
      </w:pPr>
    </w:p>
    <w:p w:rsidR="00181649" w:rsidRPr="00D40FCC" w:rsidRDefault="00181649" w:rsidP="00181649">
      <w:pPr>
        <w:rPr>
          <w:rFonts w:ascii="Arial" w:hAnsi="Arial" w:cs="Arial"/>
          <w:b/>
          <w:sz w:val="22"/>
          <w:szCs w:val="22"/>
          <w:lang w:val="pt-PT"/>
        </w:rPr>
      </w:pPr>
    </w:p>
    <w:p w:rsidR="00181649" w:rsidRPr="00970C97" w:rsidRDefault="00181649" w:rsidP="00181649">
      <w:pPr>
        <w:numPr>
          <w:ilvl w:val="0"/>
          <w:numId w:val="1"/>
        </w:numPr>
        <w:rPr>
          <w:rFonts w:ascii="Arial" w:hAnsi="Arial" w:cs="Arial"/>
          <w:b/>
          <w:sz w:val="22"/>
          <w:szCs w:val="22"/>
        </w:rPr>
      </w:pPr>
      <w:r>
        <w:rPr>
          <w:rFonts w:ascii="Arial" w:hAnsi="Arial" w:cs="Arial"/>
          <w:b/>
          <w:sz w:val="22"/>
          <w:szCs w:val="22"/>
        </w:rPr>
        <w:t xml:space="preserve">Професионална реализация </w:t>
      </w:r>
      <w:r w:rsidRPr="005A2215">
        <w:rPr>
          <w:rFonts w:ascii="Arial" w:hAnsi="Arial" w:cs="Arial"/>
          <w:b/>
          <w:sz w:val="22"/>
          <w:szCs w:val="22"/>
          <w:lang w:val="ru-RU"/>
        </w:rPr>
        <w:t>(</w:t>
      </w:r>
      <w:r>
        <w:rPr>
          <w:rFonts w:ascii="Arial" w:hAnsi="Arial" w:cs="Arial"/>
          <w:b/>
          <w:sz w:val="22"/>
          <w:szCs w:val="22"/>
        </w:rPr>
        <w:t xml:space="preserve">съгласно </w:t>
      </w:r>
      <w:r w:rsidRPr="009A5B66">
        <w:rPr>
          <w:rFonts w:ascii="Arial" w:eastAsia="Calibri" w:hAnsi="Arial" w:cs="Arial"/>
          <w:b/>
          <w:bCs/>
          <w:sz w:val="22"/>
          <w:szCs w:val="22"/>
        </w:rPr>
        <w:t>Националната класификация на професиите и длъжностите в Република България</w:t>
      </w:r>
      <w:r w:rsidR="005F5590">
        <w:rPr>
          <w:rFonts w:ascii="Arial" w:eastAsia="Calibri" w:hAnsi="Arial" w:cs="Arial"/>
          <w:b/>
          <w:bCs/>
          <w:sz w:val="22"/>
          <w:szCs w:val="22"/>
        </w:rPr>
        <w:t xml:space="preserve"> / международни класификации</w:t>
      </w:r>
      <w:r w:rsidR="005A2215">
        <w:rPr>
          <w:rFonts w:ascii="Arial" w:eastAsia="Calibri" w:hAnsi="Arial" w:cs="Arial"/>
          <w:b/>
          <w:bCs/>
          <w:sz w:val="22"/>
          <w:szCs w:val="22"/>
        </w:rPr>
        <w:t xml:space="preserve"> и </w:t>
      </w:r>
      <w:r w:rsidR="005A2215" w:rsidRPr="00970C97">
        <w:rPr>
          <w:rFonts w:ascii="Arial" w:eastAsia="Calibri" w:hAnsi="Arial" w:cs="Arial"/>
          <w:b/>
          <w:sz w:val="22"/>
          <w:szCs w:val="22"/>
        </w:rPr>
        <w:t>съобразно позицията на бъдещия специалист в националната квалификационна рамка за висше образование и квалификационната рамка на Европейското пространство за висше образование</w:t>
      </w:r>
      <w:r w:rsidRPr="00970C97">
        <w:rPr>
          <w:rFonts w:ascii="Arial" w:hAnsi="Arial" w:cs="Arial"/>
          <w:b/>
          <w:sz w:val="22"/>
          <w:szCs w:val="22"/>
          <w:lang w:val="ru-RU"/>
        </w:rPr>
        <w:t>)</w:t>
      </w:r>
    </w:p>
    <w:p w:rsidR="00181649" w:rsidRPr="00970C97" w:rsidRDefault="00181649" w:rsidP="00181649">
      <w:pPr>
        <w:rPr>
          <w:rFonts w:ascii="Arial" w:hAnsi="Arial" w:cs="Arial"/>
          <w:b/>
          <w:sz w:val="22"/>
          <w:szCs w:val="22"/>
        </w:rPr>
      </w:pPr>
    </w:p>
    <w:p w:rsidR="00405ACA" w:rsidRPr="00405ACA" w:rsidRDefault="00405ACA" w:rsidP="00405ACA">
      <w:pPr>
        <w:numPr>
          <w:ilvl w:val="0"/>
          <w:numId w:val="8"/>
        </w:numPr>
        <w:jc w:val="both"/>
        <w:rPr>
          <w:rFonts w:ascii="Arial" w:hAnsi="Arial" w:cs="Arial"/>
          <w:sz w:val="22"/>
          <w:szCs w:val="22"/>
          <w:lang w:val="en-US" w:eastAsia="en-US"/>
        </w:rPr>
      </w:pPr>
      <w:r>
        <w:rPr>
          <w:rFonts w:ascii="Arial" w:hAnsi="Arial" w:cs="Arial"/>
          <w:sz w:val="22"/>
          <w:szCs w:val="22"/>
        </w:rPr>
        <w:t>Като преводачи.</w:t>
      </w:r>
    </w:p>
    <w:p w:rsidR="00405ACA" w:rsidRPr="00405ACA" w:rsidRDefault="00405ACA" w:rsidP="00405ACA">
      <w:pPr>
        <w:numPr>
          <w:ilvl w:val="0"/>
          <w:numId w:val="8"/>
        </w:numPr>
        <w:jc w:val="both"/>
        <w:rPr>
          <w:rFonts w:ascii="Arial" w:hAnsi="Arial" w:cs="Arial"/>
          <w:sz w:val="22"/>
          <w:szCs w:val="22"/>
          <w:lang w:val="en-US" w:eastAsia="en-US"/>
        </w:rPr>
      </w:pPr>
      <w:r>
        <w:rPr>
          <w:rFonts w:ascii="Arial" w:hAnsi="Arial" w:cs="Arial"/>
          <w:sz w:val="22"/>
          <w:szCs w:val="22"/>
        </w:rPr>
        <w:t>Като преподаватели в средно или висше учебно заведение (в България или чужбина).</w:t>
      </w:r>
    </w:p>
    <w:p w:rsidR="00405ACA" w:rsidRPr="00405ACA" w:rsidRDefault="00405ACA" w:rsidP="00405ACA">
      <w:pPr>
        <w:numPr>
          <w:ilvl w:val="0"/>
          <w:numId w:val="8"/>
        </w:numPr>
        <w:jc w:val="both"/>
        <w:rPr>
          <w:rFonts w:ascii="Arial" w:hAnsi="Arial" w:cs="Arial"/>
          <w:sz w:val="22"/>
          <w:szCs w:val="22"/>
          <w:lang w:val="en-US" w:eastAsia="en-US"/>
        </w:rPr>
      </w:pPr>
      <w:r>
        <w:rPr>
          <w:rFonts w:ascii="Arial" w:hAnsi="Arial" w:cs="Arial"/>
          <w:sz w:val="22"/>
          <w:szCs w:val="22"/>
        </w:rPr>
        <w:t>Като журналисти в печатни или електронни медии.</w:t>
      </w:r>
    </w:p>
    <w:p w:rsidR="00625542" w:rsidRPr="00405ACA" w:rsidRDefault="00405ACA" w:rsidP="00181649">
      <w:pPr>
        <w:numPr>
          <w:ilvl w:val="0"/>
          <w:numId w:val="8"/>
        </w:numPr>
        <w:jc w:val="both"/>
        <w:rPr>
          <w:rFonts w:ascii="Arial" w:hAnsi="Arial" w:cs="Arial"/>
          <w:sz w:val="22"/>
          <w:szCs w:val="22"/>
          <w:lang w:val="en-US" w:eastAsia="en-US"/>
        </w:rPr>
        <w:sectPr w:rsidR="00625542" w:rsidRPr="00405ACA" w:rsidSect="00325506">
          <w:pgSz w:w="16838" w:h="11906" w:orient="landscape"/>
          <w:pgMar w:top="1008" w:right="1008" w:bottom="1008" w:left="1008" w:header="706" w:footer="706" w:gutter="0"/>
          <w:cols w:space="720"/>
          <w:docGrid w:linePitch="360"/>
        </w:sectPr>
      </w:pPr>
      <w:r>
        <w:rPr>
          <w:rFonts w:ascii="Arial" w:hAnsi="Arial" w:cs="Arial"/>
          <w:sz w:val="22"/>
          <w:szCs w:val="22"/>
        </w:rPr>
        <w:t>В рамките на МВР, МВнР и на други правителствени или неправителствени институции и учреждения</w:t>
      </w:r>
      <w:bookmarkEnd w:id="2"/>
      <w:r>
        <w:rPr>
          <w:rFonts w:ascii="Arial" w:hAnsi="Arial" w:cs="Arial"/>
          <w:sz w:val="22"/>
          <w:szCs w:val="22"/>
        </w:rPr>
        <w:t>.</w:t>
      </w:r>
    </w:p>
    <w:p w:rsidR="007C0376" w:rsidRPr="005A2215" w:rsidRDefault="007C0376" w:rsidP="0014312A">
      <w:pPr>
        <w:rPr>
          <w:lang w:val="ru-RU"/>
        </w:rPr>
      </w:pPr>
    </w:p>
    <w:sectPr w:rsidR="007C0376" w:rsidRPr="005A2215" w:rsidSect="0014312A">
      <w:type w:val="continuous"/>
      <w:pgSz w:w="16838" w:h="11906" w:orient="landscape"/>
      <w:pgMar w:top="1008" w:right="1008" w:bottom="1008" w:left="1008"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932" w:rsidRDefault="00AC2932">
      <w:r>
        <w:separator/>
      </w:r>
    </w:p>
  </w:endnote>
  <w:endnote w:type="continuationSeparator" w:id="0">
    <w:p w:rsidR="00AC2932" w:rsidRDefault="00AC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932" w:rsidRDefault="00AC2932">
      <w:r>
        <w:separator/>
      </w:r>
    </w:p>
  </w:footnote>
  <w:footnote w:type="continuationSeparator" w:id="0">
    <w:p w:rsidR="00AC2932" w:rsidRDefault="00AC2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27D3"/>
    <w:multiLevelType w:val="hybridMultilevel"/>
    <w:tmpl w:val="EBD85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50FEB"/>
    <w:multiLevelType w:val="hybridMultilevel"/>
    <w:tmpl w:val="8D9033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75025"/>
    <w:multiLevelType w:val="hybridMultilevel"/>
    <w:tmpl w:val="A11C3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10ABC"/>
    <w:multiLevelType w:val="hybridMultilevel"/>
    <w:tmpl w:val="00086C9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0731A7A"/>
    <w:multiLevelType w:val="hybridMultilevel"/>
    <w:tmpl w:val="01B0269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5DE726BC"/>
    <w:multiLevelType w:val="hybridMultilevel"/>
    <w:tmpl w:val="6280319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1507A95"/>
    <w:multiLevelType w:val="hybridMultilevel"/>
    <w:tmpl w:val="E40EA11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6D4C3B3D"/>
    <w:multiLevelType w:val="hybridMultilevel"/>
    <w:tmpl w:val="BA863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21"/>
    <w:rsid w:val="000026E2"/>
    <w:rsid w:val="00043C56"/>
    <w:rsid w:val="00062F15"/>
    <w:rsid w:val="000829EB"/>
    <w:rsid w:val="000C4C32"/>
    <w:rsid w:val="000C5187"/>
    <w:rsid w:val="00121321"/>
    <w:rsid w:val="00124C0F"/>
    <w:rsid w:val="0014312A"/>
    <w:rsid w:val="00181649"/>
    <w:rsid w:val="00186073"/>
    <w:rsid w:val="00187660"/>
    <w:rsid w:val="001A1705"/>
    <w:rsid w:val="001F7491"/>
    <w:rsid w:val="002022C2"/>
    <w:rsid w:val="00241F0F"/>
    <w:rsid w:val="00242BE0"/>
    <w:rsid w:val="00243FFC"/>
    <w:rsid w:val="00251567"/>
    <w:rsid w:val="00284C04"/>
    <w:rsid w:val="00292718"/>
    <w:rsid w:val="002C0E05"/>
    <w:rsid w:val="002C6899"/>
    <w:rsid w:val="002E0FC2"/>
    <w:rsid w:val="002F33DB"/>
    <w:rsid w:val="00305656"/>
    <w:rsid w:val="00317E9B"/>
    <w:rsid w:val="00325506"/>
    <w:rsid w:val="0036452A"/>
    <w:rsid w:val="0039482D"/>
    <w:rsid w:val="003A4AB8"/>
    <w:rsid w:val="003B2B2B"/>
    <w:rsid w:val="00405ACA"/>
    <w:rsid w:val="004437B6"/>
    <w:rsid w:val="00451EE0"/>
    <w:rsid w:val="00460A64"/>
    <w:rsid w:val="00495CDC"/>
    <w:rsid w:val="004A0958"/>
    <w:rsid w:val="004B4CCE"/>
    <w:rsid w:val="00513C92"/>
    <w:rsid w:val="00523C09"/>
    <w:rsid w:val="005325C5"/>
    <w:rsid w:val="005355AB"/>
    <w:rsid w:val="00545949"/>
    <w:rsid w:val="00583924"/>
    <w:rsid w:val="00594EB3"/>
    <w:rsid w:val="005A2215"/>
    <w:rsid w:val="005B5F22"/>
    <w:rsid w:val="005C6FA2"/>
    <w:rsid w:val="005E2F98"/>
    <w:rsid w:val="005E49B6"/>
    <w:rsid w:val="005F4F14"/>
    <w:rsid w:val="005F5590"/>
    <w:rsid w:val="00621BB0"/>
    <w:rsid w:val="00625542"/>
    <w:rsid w:val="00632D7E"/>
    <w:rsid w:val="006A4688"/>
    <w:rsid w:val="006C46D6"/>
    <w:rsid w:val="006E0179"/>
    <w:rsid w:val="006F256C"/>
    <w:rsid w:val="006F4C22"/>
    <w:rsid w:val="0070182C"/>
    <w:rsid w:val="00713BA4"/>
    <w:rsid w:val="00715BD3"/>
    <w:rsid w:val="00761525"/>
    <w:rsid w:val="00777DD5"/>
    <w:rsid w:val="007A7245"/>
    <w:rsid w:val="007C0376"/>
    <w:rsid w:val="007C472E"/>
    <w:rsid w:val="007E357E"/>
    <w:rsid w:val="00801EC2"/>
    <w:rsid w:val="00803339"/>
    <w:rsid w:val="008130E2"/>
    <w:rsid w:val="00824DFF"/>
    <w:rsid w:val="00826778"/>
    <w:rsid w:val="00834509"/>
    <w:rsid w:val="00886972"/>
    <w:rsid w:val="00887CDD"/>
    <w:rsid w:val="008F1E0F"/>
    <w:rsid w:val="009019FF"/>
    <w:rsid w:val="00927F3D"/>
    <w:rsid w:val="0094238C"/>
    <w:rsid w:val="00957AA0"/>
    <w:rsid w:val="00970C97"/>
    <w:rsid w:val="00971C03"/>
    <w:rsid w:val="00990AAF"/>
    <w:rsid w:val="00994E50"/>
    <w:rsid w:val="009C572D"/>
    <w:rsid w:val="009C7395"/>
    <w:rsid w:val="009D16CC"/>
    <w:rsid w:val="009D2C51"/>
    <w:rsid w:val="009F072D"/>
    <w:rsid w:val="009F264C"/>
    <w:rsid w:val="00A17FF5"/>
    <w:rsid w:val="00A25BCC"/>
    <w:rsid w:val="00A31925"/>
    <w:rsid w:val="00A65B37"/>
    <w:rsid w:val="00A824D0"/>
    <w:rsid w:val="00A84C78"/>
    <w:rsid w:val="00A85620"/>
    <w:rsid w:val="00AA1D5A"/>
    <w:rsid w:val="00AB17B1"/>
    <w:rsid w:val="00AB21A9"/>
    <w:rsid w:val="00AB4D76"/>
    <w:rsid w:val="00AC2932"/>
    <w:rsid w:val="00AF60E9"/>
    <w:rsid w:val="00B16C07"/>
    <w:rsid w:val="00B2216E"/>
    <w:rsid w:val="00B23D89"/>
    <w:rsid w:val="00B419A3"/>
    <w:rsid w:val="00B9262D"/>
    <w:rsid w:val="00BC74CE"/>
    <w:rsid w:val="00C02D49"/>
    <w:rsid w:val="00C223E0"/>
    <w:rsid w:val="00C43CE2"/>
    <w:rsid w:val="00C57944"/>
    <w:rsid w:val="00C879E3"/>
    <w:rsid w:val="00CC02BB"/>
    <w:rsid w:val="00CC2267"/>
    <w:rsid w:val="00CC6F26"/>
    <w:rsid w:val="00CF42A3"/>
    <w:rsid w:val="00CF5161"/>
    <w:rsid w:val="00D20BCA"/>
    <w:rsid w:val="00D2141B"/>
    <w:rsid w:val="00D21B28"/>
    <w:rsid w:val="00D2293E"/>
    <w:rsid w:val="00D40FCC"/>
    <w:rsid w:val="00D50AC0"/>
    <w:rsid w:val="00D7076C"/>
    <w:rsid w:val="00DA26C1"/>
    <w:rsid w:val="00DC0F4A"/>
    <w:rsid w:val="00DC4F22"/>
    <w:rsid w:val="00DC5676"/>
    <w:rsid w:val="00DD0632"/>
    <w:rsid w:val="00E13C25"/>
    <w:rsid w:val="00E37E64"/>
    <w:rsid w:val="00E574E5"/>
    <w:rsid w:val="00E60D82"/>
    <w:rsid w:val="00E7540D"/>
    <w:rsid w:val="00E914BD"/>
    <w:rsid w:val="00E95F5E"/>
    <w:rsid w:val="00EA074A"/>
    <w:rsid w:val="00EF2062"/>
    <w:rsid w:val="00EF5137"/>
    <w:rsid w:val="00F54A63"/>
    <w:rsid w:val="00FB1FEC"/>
    <w:rsid w:val="00FC49AA"/>
    <w:rsid w:val="00FD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F9016D5-1106-4A87-BC1E-54B615D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5676"/>
    <w:rPr>
      <w:rFonts w:ascii="Tahoma" w:hAnsi="Tahoma" w:cs="Tahoma"/>
      <w:sz w:val="16"/>
      <w:szCs w:val="16"/>
    </w:rPr>
  </w:style>
  <w:style w:type="paragraph" w:styleId="Header">
    <w:name w:val="header"/>
    <w:basedOn w:val="Normal"/>
    <w:rsid w:val="006F256C"/>
    <w:pPr>
      <w:tabs>
        <w:tab w:val="center" w:pos="4536"/>
        <w:tab w:val="right" w:pos="9072"/>
      </w:tabs>
    </w:pPr>
  </w:style>
  <w:style w:type="paragraph" w:styleId="Footer">
    <w:name w:val="footer"/>
    <w:basedOn w:val="Normal"/>
    <w:rsid w:val="006F256C"/>
    <w:pPr>
      <w:tabs>
        <w:tab w:val="center" w:pos="4536"/>
        <w:tab w:val="right" w:pos="9072"/>
      </w:tabs>
    </w:pPr>
  </w:style>
  <w:style w:type="character" w:styleId="PageNumber">
    <w:name w:val="page number"/>
    <w:basedOn w:val="DefaultParagraphFont"/>
    <w:rsid w:val="006F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5879">
      <w:bodyDiv w:val="1"/>
      <w:marLeft w:val="0"/>
      <w:marRight w:val="0"/>
      <w:marTop w:val="0"/>
      <w:marBottom w:val="0"/>
      <w:divBdr>
        <w:top w:val="none" w:sz="0" w:space="0" w:color="auto"/>
        <w:left w:val="none" w:sz="0" w:space="0" w:color="auto"/>
        <w:bottom w:val="none" w:sz="0" w:space="0" w:color="auto"/>
        <w:right w:val="none" w:sz="0" w:space="0" w:color="auto"/>
      </w:divBdr>
    </w:div>
    <w:div w:id="246044001">
      <w:bodyDiv w:val="1"/>
      <w:marLeft w:val="0"/>
      <w:marRight w:val="0"/>
      <w:marTop w:val="0"/>
      <w:marBottom w:val="0"/>
      <w:divBdr>
        <w:top w:val="none" w:sz="0" w:space="0" w:color="auto"/>
        <w:left w:val="none" w:sz="0" w:space="0" w:color="auto"/>
        <w:bottom w:val="none" w:sz="0" w:space="0" w:color="auto"/>
        <w:right w:val="none" w:sz="0" w:space="0" w:color="auto"/>
      </w:divBdr>
    </w:div>
    <w:div w:id="612713097">
      <w:bodyDiv w:val="1"/>
      <w:marLeft w:val="0"/>
      <w:marRight w:val="0"/>
      <w:marTop w:val="0"/>
      <w:marBottom w:val="0"/>
      <w:divBdr>
        <w:top w:val="none" w:sz="0" w:space="0" w:color="auto"/>
        <w:left w:val="none" w:sz="0" w:space="0" w:color="auto"/>
        <w:bottom w:val="none" w:sz="0" w:space="0" w:color="auto"/>
        <w:right w:val="none" w:sz="0" w:space="0" w:color="auto"/>
      </w:divBdr>
    </w:div>
    <w:div w:id="754322833">
      <w:bodyDiv w:val="1"/>
      <w:marLeft w:val="0"/>
      <w:marRight w:val="0"/>
      <w:marTop w:val="0"/>
      <w:marBottom w:val="0"/>
      <w:divBdr>
        <w:top w:val="none" w:sz="0" w:space="0" w:color="auto"/>
        <w:left w:val="none" w:sz="0" w:space="0" w:color="auto"/>
        <w:bottom w:val="none" w:sz="0" w:space="0" w:color="auto"/>
        <w:right w:val="none" w:sz="0" w:space="0" w:color="auto"/>
      </w:divBdr>
    </w:div>
    <w:div w:id="1287590353">
      <w:bodyDiv w:val="1"/>
      <w:marLeft w:val="0"/>
      <w:marRight w:val="0"/>
      <w:marTop w:val="0"/>
      <w:marBottom w:val="0"/>
      <w:divBdr>
        <w:top w:val="none" w:sz="0" w:space="0" w:color="auto"/>
        <w:left w:val="none" w:sz="0" w:space="0" w:color="auto"/>
        <w:bottom w:val="none" w:sz="0" w:space="0" w:color="auto"/>
        <w:right w:val="none" w:sz="0" w:space="0" w:color="auto"/>
      </w:divBdr>
    </w:div>
    <w:div w:id="20789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СОФИЙСКИ УНИВЕРСИТЕТ „СВ</vt:lpstr>
    </vt:vector>
  </TitlesOfParts>
  <Company>SU</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 „СВ</dc:title>
  <dc:subject/>
  <dc:creator>UO3</dc:creator>
  <cp:keywords/>
  <dc:description/>
  <cp:lastModifiedBy>Katya</cp:lastModifiedBy>
  <cp:revision>4</cp:revision>
  <cp:lastPrinted>2022-12-14T11:44:00Z</cp:lastPrinted>
  <dcterms:created xsi:type="dcterms:W3CDTF">2024-04-18T09:35:00Z</dcterms:created>
  <dcterms:modified xsi:type="dcterms:W3CDTF">2024-04-18T13:00:00Z</dcterms:modified>
</cp:coreProperties>
</file>