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613" w:rsidRPr="001437B7" w:rsidRDefault="000A5613" w:rsidP="000A5613">
      <w:pPr>
        <w:suppressAutoHyphens/>
        <w:spacing w:after="255" w:line="264" w:lineRule="auto"/>
        <w:jc w:val="center"/>
        <w:textAlignment w:val="center"/>
        <w:rPr>
          <w:b/>
          <w:bCs/>
          <w:caps/>
          <w:color w:val="000000"/>
          <w:sz w:val="21"/>
          <w:szCs w:val="21"/>
          <w:u w:color="000000"/>
          <w:lang w:val="bg-BG"/>
        </w:rPr>
      </w:pPr>
    </w:p>
    <w:p w:rsidR="000A5613" w:rsidRPr="001437B7" w:rsidRDefault="000A5613" w:rsidP="000A5613">
      <w:pPr>
        <w:suppressAutoHyphens/>
        <w:spacing w:after="255" w:line="264" w:lineRule="auto"/>
        <w:jc w:val="center"/>
        <w:textAlignment w:val="center"/>
        <w:rPr>
          <w:b/>
          <w:bCs/>
          <w:caps/>
          <w:color w:val="000000"/>
          <w:sz w:val="21"/>
          <w:szCs w:val="21"/>
          <w:u w:color="000000"/>
          <w:lang w:val="bg-BG"/>
        </w:rPr>
      </w:pPr>
      <w:r w:rsidRPr="001437B7">
        <w:rPr>
          <w:b/>
          <w:bCs/>
          <w:caps/>
          <w:color w:val="000000"/>
          <w:sz w:val="21"/>
          <w:szCs w:val="21"/>
          <w:u w:color="000000"/>
          <w:lang w:val="bg-BG"/>
        </w:rPr>
        <w:t xml:space="preserve">СПЕЦИАЛНОСТИ: Английска филология, </w:t>
      </w:r>
      <w:r w:rsidRPr="001437B7">
        <w:rPr>
          <w:b/>
          <w:bCs/>
          <w:caps/>
          <w:color w:val="000000"/>
          <w:sz w:val="21"/>
          <w:szCs w:val="21"/>
          <w:u w:color="000000"/>
          <w:lang w:val="bg-BG"/>
        </w:rPr>
        <w:br/>
        <w:t>Френска филология, Немска филология, Испанска филология, Италианска филология, Португалска филология, Класическа филология, Новогръцка филология, Румънска филология, Арабистика, Арменистика и кавказология, Индология, Иранистика, Китаистика, Кореистика, Тюркология, Японистика, Скандинавистика</w:t>
      </w:r>
    </w:p>
    <w:p w:rsidR="000A5613" w:rsidRPr="001437B7" w:rsidRDefault="000A5613" w:rsidP="000A5613">
      <w:pPr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textAlignment w:val="center"/>
        <w:rPr>
          <w:b/>
          <w:bCs/>
          <w:caps/>
          <w:color w:val="000000"/>
          <w:sz w:val="21"/>
          <w:szCs w:val="21"/>
          <w:u w:color="000000"/>
          <w:lang w:val="bg-BG"/>
        </w:rPr>
      </w:pPr>
    </w:p>
    <w:p w:rsidR="000A5613" w:rsidRPr="001437B7" w:rsidRDefault="000A5613" w:rsidP="000A5613">
      <w:pPr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textAlignment w:val="center"/>
        <w:rPr>
          <w:b/>
          <w:bCs/>
          <w:caps/>
          <w:color w:val="000000"/>
          <w:sz w:val="21"/>
          <w:szCs w:val="21"/>
          <w:u w:color="000000"/>
          <w:lang w:val="bg-BG"/>
        </w:rPr>
      </w:pPr>
    </w:p>
    <w:p w:rsidR="000A5613" w:rsidRPr="001437B7" w:rsidRDefault="000A5613" w:rsidP="000A5613">
      <w:pPr>
        <w:tabs>
          <w:tab w:val="left" w:pos="320"/>
          <w:tab w:val="left" w:pos="2888"/>
        </w:tabs>
        <w:suppressAutoHyphens/>
        <w:spacing w:line="264" w:lineRule="auto"/>
        <w:jc w:val="both"/>
        <w:textAlignment w:val="center"/>
        <w:rPr>
          <w:b/>
          <w:bCs/>
          <w:color w:val="000000"/>
          <w:sz w:val="21"/>
          <w:szCs w:val="21"/>
          <w:u w:color="000000"/>
          <w:lang w:val="bg-BG"/>
        </w:rPr>
      </w:pPr>
      <w:r w:rsidRPr="001437B7">
        <w:rPr>
          <w:rFonts w:ascii="Wingdings" w:hAnsi="Wingdings" w:cs="Wingdings"/>
          <w:color w:val="000000"/>
          <w:sz w:val="21"/>
          <w:szCs w:val="21"/>
          <w:u w:color="000000"/>
          <w:lang w:val="bg-BG"/>
        </w:rPr>
        <w:t></w:t>
      </w: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ab/>
        <w:t>Магистърска програма:</w:t>
      </w: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ab/>
        <w:t>Методика на чуждоезиковото</w:t>
      </w:r>
    </w:p>
    <w:p w:rsidR="000A5613" w:rsidRPr="001437B7" w:rsidRDefault="000A5613" w:rsidP="000A5613">
      <w:pPr>
        <w:tabs>
          <w:tab w:val="left" w:pos="320"/>
          <w:tab w:val="left" w:pos="2888"/>
        </w:tabs>
        <w:suppressAutoHyphens/>
        <w:spacing w:line="264" w:lineRule="auto"/>
        <w:jc w:val="both"/>
        <w:textAlignment w:val="center"/>
        <w:rPr>
          <w:b/>
          <w:bCs/>
          <w:color w:val="000000"/>
          <w:sz w:val="21"/>
          <w:szCs w:val="21"/>
          <w:u w:color="000000"/>
          <w:lang w:val="bg-BG"/>
        </w:rPr>
      </w:pP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 xml:space="preserve"> </w:t>
      </w: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ab/>
      </w: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ab/>
        <w:t xml:space="preserve">обучение в </w:t>
      </w:r>
      <w:proofErr w:type="spellStart"/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>междукултурна</w:t>
      </w:r>
      <w:proofErr w:type="spellEnd"/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 xml:space="preserve"> среда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Срок на обучение</w:t>
      </w:r>
      <w:r w:rsidRPr="001437B7">
        <w:rPr>
          <w:color w:val="000000"/>
          <w:sz w:val="21"/>
          <w:szCs w:val="21"/>
          <w:lang w:val="bg-BG"/>
        </w:rPr>
        <w:t>: 2 семестъра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Форма на обучение</w:t>
      </w:r>
      <w:r w:rsidRPr="001437B7">
        <w:rPr>
          <w:color w:val="000000"/>
          <w:sz w:val="21"/>
          <w:szCs w:val="21"/>
          <w:lang w:val="bg-BG"/>
        </w:rPr>
        <w:t>: редовна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u w:color="000000"/>
          <w:lang w:val="bg-BG"/>
        </w:rPr>
      </w:pP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>Прием в програмата</w:t>
      </w:r>
      <w:r w:rsidRPr="001437B7">
        <w:rPr>
          <w:color w:val="000000"/>
          <w:sz w:val="21"/>
          <w:szCs w:val="21"/>
          <w:u w:color="000000"/>
          <w:lang w:val="bg-BG"/>
        </w:rPr>
        <w:t>:</w:t>
      </w: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 xml:space="preserve"> </w:t>
      </w:r>
      <w:r w:rsidRPr="001437B7">
        <w:rPr>
          <w:color w:val="000000"/>
          <w:sz w:val="21"/>
          <w:szCs w:val="21"/>
          <w:u w:color="000000"/>
          <w:lang w:val="bg-BG"/>
        </w:rPr>
        <w:t>от зимен семестър и от летен семестър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Ръководител</w:t>
      </w:r>
      <w:r w:rsidRPr="001437B7">
        <w:rPr>
          <w:color w:val="000000"/>
          <w:sz w:val="21"/>
          <w:szCs w:val="21"/>
          <w:lang w:val="bg-BG"/>
        </w:rPr>
        <w:t>: проф. дфн Димитър Веселинов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0A5613" w:rsidRPr="001437B7" w:rsidRDefault="000A5613" w:rsidP="000A561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>Административен секретар</w:t>
      </w:r>
      <w:r w:rsidRPr="001437B7">
        <w:rPr>
          <w:color w:val="000000"/>
          <w:sz w:val="21"/>
          <w:szCs w:val="21"/>
          <w:u w:color="000000"/>
          <w:lang w:val="bg-BG"/>
        </w:rPr>
        <w:t xml:space="preserve">: </w:t>
      </w:r>
      <w:proofErr w:type="spellStart"/>
      <w:r w:rsidRPr="001437B7">
        <w:rPr>
          <w:color w:val="000000"/>
          <w:sz w:val="21"/>
          <w:szCs w:val="21"/>
          <w:u w:color="000000"/>
          <w:lang w:val="bg-BG"/>
        </w:rPr>
        <w:t>гл.ас</w:t>
      </w:r>
      <w:proofErr w:type="spellEnd"/>
      <w:r w:rsidRPr="001437B7">
        <w:rPr>
          <w:color w:val="000000"/>
          <w:sz w:val="21"/>
          <w:szCs w:val="21"/>
          <w:u w:color="000000"/>
          <w:lang w:val="bg-BG"/>
        </w:rPr>
        <w:t xml:space="preserve">. д-р Цветанка </w:t>
      </w:r>
      <w:proofErr w:type="spellStart"/>
      <w:r w:rsidRPr="001437B7">
        <w:rPr>
          <w:color w:val="000000"/>
          <w:sz w:val="21"/>
          <w:szCs w:val="21"/>
          <w:u w:color="000000"/>
          <w:lang w:val="bg-BG"/>
        </w:rPr>
        <w:t>Дилкова</w:t>
      </w:r>
      <w:proofErr w:type="spellEnd"/>
    </w:p>
    <w:p w:rsidR="000A5613" w:rsidRPr="001437B7" w:rsidRDefault="000A5613" w:rsidP="000A561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e-</w:t>
      </w:r>
      <w:proofErr w:type="spellStart"/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>mail</w:t>
      </w:r>
      <w:proofErr w:type="spellEnd"/>
      <w:r w:rsidRPr="001437B7">
        <w:rPr>
          <w:color w:val="000000"/>
          <w:sz w:val="21"/>
          <w:szCs w:val="21"/>
          <w:u w:color="000000"/>
          <w:lang w:val="bg-BG"/>
        </w:rPr>
        <w:t xml:space="preserve">: </w:t>
      </w:r>
      <w:r w:rsidRPr="001437B7">
        <w:rPr>
          <w:color w:val="000000"/>
          <w:sz w:val="21"/>
          <w:szCs w:val="21"/>
          <w:lang w:val="bg-BG"/>
        </w:rPr>
        <w:t>katedra.metodika@abv.bg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 xml:space="preserve">Условия за кандидатстване: </w:t>
      </w:r>
      <w:r w:rsidRPr="001437B7">
        <w:rPr>
          <w:color w:val="000000"/>
          <w:sz w:val="21"/>
          <w:szCs w:val="21"/>
          <w:lang w:val="bg-BG"/>
        </w:rPr>
        <w:t xml:space="preserve">В магистърската програма се приемат бакалаври без ограничение за специалност. Кандидатите, които не са бакалаври-филолози, следва да представят документ за владеене на съответния чужд език на ниво В2. 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Приемен</w:t>
      </w:r>
      <w:r w:rsidRPr="001437B7">
        <w:rPr>
          <w:color w:val="000000"/>
          <w:sz w:val="21"/>
          <w:szCs w:val="21"/>
          <w:lang w:val="bg-BG"/>
        </w:rPr>
        <w:t xml:space="preserve"> </w:t>
      </w:r>
      <w:r w:rsidRPr="001437B7">
        <w:rPr>
          <w:i/>
          <w:iCs/>
          <w:color w:val="000000"/>
          <w:sz w:val="21"/>
          <w:szCs w:val="21"/>
          <w:lang w:val="bg-BG"/>
        </w:rPr>
        <w:t>изпит</w:t>
      </w:r>
      <w:r w:rsidRPr="001437B7">
        <w:rPr>
          <w:color w:val="000000"/>
          <w:sz w:val="21"/>
          <w:szCs w:val="21"/>
          <w:lang w:val="bg-BG"/>
        </w:rPr>
        <w:t>: Приемният изпит се състои от две части, които се оценяват с една обща крайна оценка. Първата част на изпита е мотивационно есе на съответния чужд език в обем до 1500 думи. Втората част на изпита включва събеседване с изпитната комисия за изясняване на личностното отношение на кандидатите към професионалната област и се провежда на български език. При интервюто се оценява личната мотивация на кандидат-</w:t>
      </w:r>
      <w:proofErr w:type="spellStart"/>
      <w:r w:rsidRPr="001437B7">
        <w:rPr>
          <w:color w:val="000000"/>
          <w:sz w:val="21"/>
          <w:szCs w:val="21"/>
          <w:lang w:val="bg-BG"/>
        </w:rPr>
        <w:t>магистрантите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, като се взема под внимание и тяхната предварителна ориентация по общи основни теми и проблеми от областта на чуждоезиковото обучение и преподаването в </w:t>
      </w:r>
      <w:proofErr w:type="spellStart"/>
      <w:r w:rsidRPr="001437B7">
        <w:rPr>
          <w:color w:val="000000"/>
          <w:sz w:val="21"/>
          <w:szCs w:val="21"/>
          <w:lang w:val="bg-BG"/>
        </w:rPr>
        <w:t>междукултурна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среда. По време на събеседването кандидат-</w:t>
      </w:r>
      <w:proofErr w:type="spellStart"/>
      <w:r w:rsidRPr="001437B7">
        <w:rPr>
          <w:color w:val="000000"/>
          <w:sz w:val="21"/>
          <w:szCs w:val="21"/>
          <w:lang w:val="bg-BG"/>
        </w:rPr>
        <w:t>магистрантите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излагат сбито своите мотиви да кандидатстват за магистърската програма; представят досегашната си подготовка по специалността, която са завършили; излагат накратко своите намерения за придобиването на академични знания и за изследвания в магистърската програма; посочват своите предварителни планове за бъдеща професионална реализация, свързана с магистърската програма. Оценява се </w:t>
      </w:r>
      <w:proofErr w:type="spellStart"/>
      <w:r w:rsidRPr="001437B7">
        <w:rPr>
          <w:color w:val="000000"/>
          <w:sz w:val="21"/>
          <w:szCs w:val="21"/>
          <w:lang w:val="bg-BG"/>
        </w:rPr>
        <w:t>общохуманитарната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подготовка на кандидатите и тяхната способност за аргументация. Изпитната комисия поставя оценка по шестобалната система.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Кандидатите за платена форма на обучение, трябва да изпратят само мотивационно есе, което се оценява от комисията.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Катедрата по методика на чуждоезиковото обучение вижда своята мисия в подготовката на висококвалифицирани специалисти със самостоятелно мислене и готовност за непрекъснато усъвършенстване, способни да отговорят на съответните изисквания за организация и ръководство на учебния процес по чужд език.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Програмата има за цел подготовката на висококвалифицирани педагогически кадри за реализиране на учебно-възпитателния процес в чуждоезиковото обучение в </w:t>
      </w:r>
      <w:proofErr w:type="spellStart"/>
      <w:r w:rsidRPr="001437B7">
        <w:rPr>
          <w:color w:val="000000"/>
          <w:sz w:val="21"/>
          <w:szCs w:val="21"/>
          <w:lang w:val="bg-BG"/>
        </w:rPr>
        <w:t>междукултурна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среда. Чрез включените в нея учебни дисциплини се разширяват и обогатяват лингвистичните, педагогическите и методическите </w:t>
      </w:r>
      <w:r w:rsidRPr="001437B7">
        <w:rPr>
          <w:color w:val="000000"/>
          <w:sz w:val="21"/>
          <w:szCs w:val="21"/>
          <w:lang w:val="bg-BG"/>
        </w:rPr>
        <w:lastRenderedPageBreak/>
        <w:t>компетенции на обучаваните, които са им необходими при преподаването на чужд език. Програмата цели да доразвие, специализира и задълбочи познанията в областта на чуждоезиковото обучение. Програмата се предлага и на английски език.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Програмата дава </w:t>
      </w:r>
      <w:proofErr w:type="spellStart"/>
      <w:r w:rsidRPr="001437B7">
        <w:rPr>
          <w:color w:val="000000"/>
          <w:sz w:val="21"/>
          <w:szCs w:val="21"/>
          <w:lang w:val="bg-BG"/>
        </w:rPr>
        <w:t>широкопрофилни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теоретични знания; развива умения за анализ и синтез на научната информация, способности за критично мислене, аргументирана защита и/или критика на научни постановки и практическото им приложение; дава подготовка на висококвалифицирани специалисти, които съзнават богатството от теоретични възможности за постигане на ефективност в чуждоезиковото обучение и преподаването в </w:t>
      </w:r>
      <w:proofErr w:type="spellStart"/>
      <w:r w:rsidRPr="001437B7">
        <w:rPr>
          <w:color w:val="000000"/>
          <w:sz w:val="21"/>
          <w:szCs w:val="21"/>
          <w:lang w:val="bg-BG"/>
        </w:rPr>
        <w:t>междукултурна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среда и проявяват самостоятелност, творчество и отговорност при вземането на професионални решения.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Освен теоретичната подготовка програмата дава възможност за усъвършенстване на практическите езикови, комуникативни и педагогически умения на обучаваните.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Тази магистърска програма дава възможност за придобиване на учителска правоспособност, ако бъде записан факултативен модул „Педагогически профил“, който дава възможност за получаване на професионална квалификация „учител по...“ съответния чужд език.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Настоящата магистърска програма дава знания и умения за повишаване на качеството на подготовката на педагогическите кадри, за подпомагане на кариерното развитие на учителите, както и за синхронизиране на подготовката и квалификацията на учителите с европейските стандарти в образованието на педагогическите кадри.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Интердисциплинарният характер на магистърската програма дава възможност да се подготвят висококвалифицирани специалисти както в системата на образованието и науката, така и в други области на обществения живот.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b/>
          <w:bCs/>
          <w:color w:val="000000"/>
          <w:sz w:val="21"/>
          <w:szCs w:val="21"/>
          <w:lang w:val="bg-BG"/>
        </w:rPr>
      </w:pPr>
      <w:r w:rsidRPr="001437B7">
        <w:rPr>
          <w:b/>
          <w:bCs/>
          <w:color w:val="000000"/>
          <w:sz w:val="21"/>
          <w:szCs w:val="21"/>
          <w:lang w:val="bg-BG"/>
        </w:rPr>
        <w:t>Препоръчителна литература: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сп. „Чуждоезиково обучение“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сп. „Филология“</w:t>
      </w:r>
    </w:p>
    <w:p w:rsidR="000A5613" w:rsidRPr="001437B7" w:rsidRDefault="000A5613" w:rsidP="000A561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„Годишник на Софийския университет „Св. Климент Охридски“ – Факултет по класически и нови филологии“</w:t>
      </w:r>
    </w:p>
    <w:p w:rsidR="002F795A" w:rsidRDefault="002F795A">
      <w:bookmarkStart w:id="0" w:name="_GoBack"/>
      <w:bookmarkEnd w:id="0"/>
    </w:p>
    <w:sectPr w:rsidR="002F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13"/>
    <w:rsid w:val="000A5613"/>
    <w:rsid w:val="002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2F5D0-A031-485E-AAF1-2F453DED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A5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2023-07-18T10:48:00Z</dcterms:created>
  <dcterms:modified xsi:type="dcterms:W3CDTF">2023-07-18T10:50:00Z</dcterms:modified>
</cp:coreProperties>
</file>