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09" w:rsidRDefault="006F167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289560</wp:posOffset>
                </wp:positionV>
                <wp:extent cx="9197340" cy="6560820"/>
                <wp:effectExtent l="0" t="0" r="2286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7340" cy="6560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C231E7" id="Rectangle 6" o:spid="_x0000_s1026" style="position:absolute;margin-left:24.6pt;margin-top:22.8pt;width:724.2pt;height:516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" filled="f" strokecolor="black [3213]" strokeweight="1pt"/>
            </w:pict>
          </mc:Fallback>
        </mc:AlternateContent>
      </w:r>
      <w:r w:rsidR="00D55EB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3609975</wp:posOffset>
                </wp:positionV>
                <wp:extent cx="919734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97340" cy="0"/>
                        </a:xfrm>
                        <a:prstGeom prst="straightConnector1">
                          <a:avLst/>
                        </a:prstGeom>
                        <a:ln w="698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o:spt="32" o:oned="true" path="m,l21600,21600e" style="position:absolute;margin-left:42.75pt;margin-top:284.25pt;width:724.20000000000005pt;height:0;z-index:-251658240;mso-position-horizontal-relative:page;mso-position-vertical-relative:page">
                <v:stroke weight="0.55000000000000004pt"/>
              </v:shape>
            </w:pict>
          </mc:Fallback>
        </mc:AlternateContent>
      </w:r>
      <w:r w:rsidR="00D55EB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4010025</wp:posOffset>
                </wp:positionV>
                <wp:extent cx="9197340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97340" cy="0"/>
                        </a:xfrm>
                        <a:prstGeom prst="straightConnector1">
                          <a:avLst/>
                        </a:prstGeom>
                        <a:ln w="825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o:spt="32" o:oned="true" path="m,l21600,21600e" style="position:absolute;margin-left:42.75pt;margin-top:315.75pt;width:724.20000000000005pt;height:0;z-index:-251658240;mso-position-horizontal-relative:page;mso-position-vertical-relative:page">
                <v:stroke weight="0.65000000000000002pt"/>
              </v:shape>
            </w:pict>
          </mc:Fallback>
        </mc:AlternateContent>
      </w:r>
      <w:r w:rsidR="00D55EB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4484370</wp:posOffset>
                </wp:positionV>
                <wp:extent cx="919734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97340" cy="0"/>
                        </a:xfrm>
                        <a:prstGeom prst="straightConnector1">
                          <a:avLst/>
                        </a:prstGeom>
                        <a:ln w="825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o:spt="32" o:oned="true" path="m,l21600,21600e" style="position:absolute;margin-left:42.75pt;margin-top:353.10000000000002pt;width:724.20000000000005pt;height:0;z-index:-251658240;mso-position-horizontal-relative:page;mso-position-vertical-relative:page">
                <v:stroke weight="0.65000000000000002pt"/>
              </v:shape>
            </w:pict>
          </mc:Fallback>
        </mc:AlternateContent>
      </w:r>
      <w:r w:rsidR="00D55EB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5345430</wp:posOffset>
                </wp:positionV>
                <wp:extent cx="9197340" cy="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97340" cy="0"/>
                        </a:xfrm>
                        <a:prstGeom prst="straightConnector1">
                          <a:avLst/>
                        </a:prstGeom>
                        <a:ln w="698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o:spt="32" o:oned="true" path="m,l21600,21600e" style="position:absolute;margin-left:42.75pt;margin-top:420.90000000000003pt;width:724.20000000000005pt;height:0;z-index:-251658240;mso-position-horizontal-relative:page;mso-position-vertical-relative:page">
                <v:stroke weight="0.55000000000000004pt"/>
              </v:shape>
            </w:pict>
          </mc:Fallback>
        </mc:AlternateContent>
      </w:r>
      <w:r w:rsidR="00D55EB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5554345</wp:posOffset>
                </wp:positionV>
                <wp:extent cx="9197340" cy="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97340" cy="0"/>
                        </a:xfrm>
                        <a:prstGeom prst="straightConnector1">
                          <a:avLst/>
                        </a:prstGeom>
                        <a:ln w="825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o:spt="32" o:oned="true" path="m,l21600,21600e" style="position:absolute;margin-left:42.75pt;margin-top:437.35000000000002pt;width:724.20000000000005pt;height:0;z-index:-251658240;mso-position-horizontal-relative:page;mso-position-vertical-relative:page">
                <v:stroke weight="0.65000000000000002pt"/>
              </v:shape>
            </w:pict>
          </mc:Fallback>
        </mc:AlternateContent>
      </w:r>
    </w:p>
    <w:p w:rsidR="00CA7309" w:rsidRPr="00AB3CD2" w:rsidRDefault="00D55EBD">
      <w:pPr>
        <w:pStyle w:val="Bodytext20"/>
        <w:framePr w:w="12618" w:h="1279" w:hRule="exact" w:wrap="none" w:vAnchor="page" w:hAnchor="page" w:x="2688" w:y="1390"/>
        <w:spacing w:after="500"/>
        <w:ind w:left="1020"/>
        <w:rPr>
          <w:lang w:val="en-US"/>
        </w:rPr>
      </w:pPr>
      <w:r>
        <w:t>СОФИЙСКИ УНИВЕРСИТЕТ „СВ. КЛИМЕНТ ОХРИДСКИ"</w:t>
      </w:r>
      <w:bookmarkStart w:id="0" w:name="_GoBack"/>
      <w:bookmarkEnd w:id="0"/>
    </w:p>
    <w:p w:rsidR="00CA7309" w:rsidRDefault="00D55EBD">
      <w:pPr>
        <w:pStyle w:val="Bodytext20"/>
        <w:framePr w:w="12618" w:h="1279" w:hRule="exact" w:wrap="none" w:vAnchor="page" w:hAnchor="page" w:x="2688" w:y="1390"/>
        <w:spacing w:after="0"/>
        <w:ind w:left="1320"/>
      </w:pPr>
      <w:r>
        <w:rPr>
          <w:b/>
          <w:bCs/>
          <w:u w:val="none"/>
        </w:rPr>
        <w:t>ФАКУЛТЕТ ПО КЛАСИЧЕСКИ И НОВИ ФИЛОЛОГИИ</w:t>
      </w:r>
    </w:p>
    <w:p w:rsidR="00CA7309" w:rsidRDefault="00D55EBD">
      <w:pPr>
        <w:pStyle w:val="Heading10"/>
        <w:framePr w:wrap="none" w:vAnchor="page" w:hAnchor="page" w:x="2688" w:y="3451"/>
        <w:spacing w:after="0"/>
      </w:pPr>
      <w:bookmarkStart w:id="1" w:name="bookmark0"/>
      <w:r>
        <w:t>У Ч Е Б Е Н П Л А Н</w:t>
      </w:r>
      <w:bookmarkEnd w:id="1"/>
    </w:p>
    <w:p w:rsidR="00CA7309" w:rsidRDefault="00D55EBD">
      <w:pPr>
        <w:pStyle w:val="BodyText"/>
        <w:framePr w:w="12618" w:h="298" w:hRule="exact" w:wrap="none" w:vAnchor="page" w:hAnchor="page" w:x="2688" w:y="4436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Утвърден от Академически съвет с протокол:</w:t>
      </w:r>
    </w:p>
    <w:p w:rsidR="00CA7309" w:rsidRDefault="00D55EBD">
      <w:pPr>
        <w:pStyle w:val="BodyText"/>
        <w:framePr w:wrap="none" w:vAnchor="page" w:hAnchor="page" w:x="893" w:y="5068"/>
        <w:tabs>
          <w:tab w:val="left" w:pos="1824"/>
          <w:tab w:val="left" w:leader="dot" w:pos="40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Утвърждавам: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A7309" w:rsidRDefault="00D55EBD">
      <w:pPr>
        <w:pStyle w:val="BodyText"/>
        <w:framePr w:w="4359" w:h="295" w:hRule="exact" w:wrap="none" w:vAnchor="page" w:hAnchor="page" w:x="10928" w:y="5068"/>
        <w:tabs>
          <w:tab w:val="left" w:pos="458"/>
          <w:tab w:val="left" w:leader="dot" w:pos="1690"/>
          <w:tab w:val="left" w:leader="dot" w:pos="4307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№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/ </w:t>
      </w:r>
      <w:r>
        <w:rPr>
          <w:sz w:val="24"/>
          <w:szCs w:val="24"/>
        </w:rPr>
        <w:tab/>
      </w:r>
    </w:p>
    <w:p w:rsidR="00CA7309" w:rsidRDefault="00D55EBD">
      <w:pPr>
        <w:pStyle w:val="BodyText"/>
        <w:framePr w:wrap="none" w:vAnchor="page" w:hAnchor="page" w:x="893" w:y="637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Професионално направление:</w:t>
      </w:r>
    </w:p>
    <w:p w:rsidR="00CA7309" w:rsidRDefault="00D55EBD">
      <w:pPr>
        <w:pStyle w:val="BodyText"/>
        <w:framePr w:wrap="none" w:vAnchor="page" w:hAnchor="page" w:x="5168" w:y="636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2.1 Филология</w:t>
      </w:r>
    </w:p>
    <w:p w:rsidR="00CA7309" w:rsidRDefault="00D55EBD">
      <w:pPr>
        <w:pStyle w:val="BodyText"/>
        <w:framePr w:wrap="none" w:vAnchor="page" w:hAnchor="page" w:x="893" w:y="6732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ОКС „бакалавър”</w:t>
      </w:r>
    </w:p>
    <w:p w:rsidR="00CA7309" w:rsidRDefault="00D55EBD">
      <w:pPr>
        <w:pStyle w:val="BodyText"/>
        <w:framePr w:w="1582" w:h="816" w:hRule="exact" w:wrap="none" w:vAnchor="page" w:hAnchor="page" w:x="893" w:y="7432"/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Специалност:</w:t>
      </w:r>
    </w:p>
    <w:p w:rsidR="00CA7309" w:rsidRDefault="00D55EBD">
      <w:pPr>
        <w:pStyle w:val="BodyText"/>
        <w:framePr w:w="1582" w:h="816" w:hRule="exact" w:wrap="none" w:vAnchor="page" w:hAnchor="page" w:x="893" w:y="743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Индология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4"/>
        <w:gridCol w:w="742"/>
        <w:gridCol w:w="737"/>
        <w:gridCol w:w="742"/>
        <w:gridCol w:w="737"/>
        <w:gridCol w:w="742"/>
        <w:gridCol w:w="737"/>
        <w:gridCol w:w="737"/>
        <w:gridCol w:w="816"/>
      </w:tblGrid>
      <w:tr w:rsidR="00CA7309" w:rsidTr="00CA22DE">
        <w:trPr>
          <w:trHeight w:hRule="exact" w:val="432"/>
        </w:trPr>
        <w:tc>
          <w:tcPr>
            <w:tcW w:w="774" w:type="dxa"/>
            <w:shd w:val="clear" w:color="auto" w:fill="auto"/>
            <w:vAlign w:val="center"/>
          </w:tcPr>
          <w:p w:rsidR="00CA7309" w:rsidRDefault="00D55EBD">
            <w:pPr>
              <w:pStyle w:val="Other0"/>
              <w:framePr w:w="6766" w:h="432" w:wrap="none" w:vAnchor="page" w:hAnchor="page" w:x="4363" w:y="7366"/>
              <w:spacing w:after="0" w:line="240" w:lineRule="auto"/>
              <w:ind w:firstLine="3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A7309" w:rsidRDefault="00D55EBD">
            <w:pPr>
              <w:pStyle w:val="Other0"/>
              <w:framePr w:w="6766" w:h="432" w:wrap="none" w:vAnchor="page" w:hAnchor="page" w:x="4363" w:y="7366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A7309" w:rsidRDefault="00D55EBD">
            <w:pPr>
              <w:pStyle w:val="Other0"/>
              <w:framePr w:w="6766" w:h="432" w:wrap="none" w:vAnchor="page" w:hAnchor="page" w:x="4363" w:y="7366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A7309" w:rsidRDefault="00D55EBD">
            <w:pPr>
              <w:pStyle w:val="Other0"/>
              <w:framePr w:w="6766" w:h="432" w:wrap="none" w:vAnchor="page" w:hAnchor="page" w:x="4363" w:y="7366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A7309" w:rsidRDefault="00D55EBD">
            <w:pPr>
              <w:pStyle w:val="Other0"/>
              <w:framePr w:w="6766" w:h="432" w:wrap="none" w:vAnchor="page" w:hAnchor="page" w:x="4363" w:y="7366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A7309" w:rsidRDefault="00D55EBD">
            <w:pPr>
              <w:pStyle w:val="Other0"/>
              <w:framePr w:w="6766" w:h="432" w:wrap="none" w:vAnchor="page" w:hAnchor="page" w:x="4363" w:y="7366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A7309" w:rsidRDefault="00D55EBD">
            <w:pPr>
              <w:pStyle w:val="Other0"/>
              <w:framePr w:w="6766" w:h="432" w:wrap="none" w:vAnchor="page" w:hAnchor="page" w:x="4363" w:y="7366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A7309" w:rsidRDefault="00D55EBD">
            <w:pPr>
              <w:pStyle w:val="Other0"/>
              <w:framePr w:w="6766" w:h="432" w:wrap="none" w:vAnchor="page" w:hAnchor="page" w:x="4363" w:y="7366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A7309" w:rsidRPr="00CA22DE" w:rsidRDefault="00D55EBD">
            <w:pPr>
              <w:pStyle w:val="Other0"/>
              <w:framePr w:w="6766" w:h="432" w:wrap="none" w:vAnchor="page" w:hAnchor="page" w:x="4363" w:y="7366"/>
              <w:spacing w:after="0" w:line="240" w:lineRule="auto"/>
              <w:ind w:left="60"/>
              <w:jc w:val="center"/>
              <w:rPr>
                <w:sz w:val="26"/>
                <w:szCs w:val="26"/>
              </w:rPr>
            </w:pPr>
            <w:r w:rsidRPr="00CA22DE">
              <w:rPr>
                <w:sz w:val="26"/>
                <w:szCs w:val="26"/>
              </w:rPr>
              <w:t>3</w:t>
            </w:r>
          </w:p>
        </w:tc>
      </w:tr>
    </w:tbl>
    <w:p w:rsidR="00CA7309" w:rsidRDefault="00D55EBD">
      <w:pPr>
        <w:pStyle w:val="BodyText"/>
        <w:framePr w:w="14413" w:h="1848" w:hRule="exact" w:wrap="none" w:vAnchor="page" w:hAnchor="page" w:x="893" w:y="9056"/>
        <w:tabs>
          <w:tab w:val="left" w:pos="2804"/>
        </w:tabs>
        <w:spacing w:line="240" w:lineRule="auto"/>
        <w:rPr>
          <w:sz w:val="26"/>
          <w:szCs w:val="26"/>
        </w:rPr>
      </w:pPr>
      <w:r>
        <w:rPr>
          <w:sz w:val="24"/>
          <w:szCs w:val="24"/>
        </w:rPr>
        <w:t>Форма на обучение:</w:t>
      </w:r>
      <w:r>
        <w:rPr>
          <w:sz w:val="24"/>
          <w:szCs w:val="24"/>
        </w:rPr>
        <w:tab/>
      </w:r>
      <w:r>
        <w:rPr>
          <w:sz w:val="26"/>
          <w:szCs w:val="26"/>
        </w:rPr>
        <w:t>редовна форма на обучение</w:t>
      </w:r>
    </w:p>
    <w:p w:rsidR="00CA7309" w:rsidRDefault="00D55EBD">
      <w:pPr>
        <w:pStyle w:val="BodyText"/>
        <w:framePr w:w="14413" w:h="1848" w:hRule="exact" w:wrap="none" w:vAnchor="page" w:hAnchor="page" w:x="893" w:y="9056"/>
        <w:spacing w:line="240" w:lineRule="auto"/>
        <w:rPr>
          <w:sz w:val="26"/>
          <w:szCs w:val="26"/>
        </w:rPr>
      </w:pPr>
      <w:r>
        <w:rPr>
          <w:sz w:val="24"/>
          <w:szCs w:val="24"/>
        </w:rPr>
        <w:t>Продължителност на обучението (брой семестри):</w:t>
      </w:r>
      <w:r>
        <w:rPr>
          <w:sz w:val="26"/>
          <w:szCs w:val="26"/>
        </w:rPr>
        <w:t>8 /осем/ семестъра</w:t>
      </w:r>
    </w:p>
    <w:p w:rsidR="00CA7309" w:rsidRDefault="00D55EBD">
      <w:pPr>
        <w:pStyle w:val="BodyText"/>
        <w:framePr w:w="14413" w:h="1848" w:hRule="exact" w:wrap="none" w:vAnchor="page" w:hAnchor="page" w:x="893" w:y="9056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Професионална квалификация:</w:t>
      </w:r>
    </w:p>
    <w:p w:rsidR="00CA22DE" w:rsidRDefault="00D55EBD" w:rsidP="00CA22DE">
      <w:pPr>
        <w:pStyle w:val="BodyText"/>
        <w:framePr w:w="14413" w:h="1848" w:hRule="exact" w:wrap="none" w:vAnchor="page" w:hAnchor="page" w:x="893" w:y="9056"/>
        <w:pBdr>
          <w:bottom w:val="single" w:sz="4" w:space="0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Филолог-индолог или</w:t>
      </w:r>
      <w:r w:rsidR="00CA22DE" w:rsidRPr="00CA22DE">
        <w:t xml:space="preserve"> </w:t>
      </w:r>
      <w:r w:rsidR="00CA22DE">
        <w:rPr>
          <w:sz w:val="24"/>
          <w:szCs w:val="24"/>
        </w:rPr>
        <w:t>Филолог-индолог, учител по хинди</w:t>
      </w:r>
    </w:p>
    <w:p w:rsidR="00CA7309" w:rsidRDefault="00CA7309">
      <w:pPr>
        <w:pStyle w:val="BodyText"/>
        <w:framePr w:w="14413" w:h="1848" w:hRule="exact" w:wrap="none" w:vAnchor="page" w:hAnchor="page" w:x="893" w:y="9056"/>
        <w:spacing w:after="0" w:line="240" w:lineRule="auto"/>
        <w:rPr>
          <w:sz w:val="24"/>
          <w:szCs w:val="24"/>
        </w:rPr>
      </w:pPr>
    </w:p>
    <w:p w:rsidR="00CA7309" w:rsidRDefault="00CA7309">
      <w:pPr>
        <w:spacing w:line="1" w:lineRule="exact"/>
        <w:sectPr w:rsidR="00CA7309">
          <w:pgSz w:w="16834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7309" w:rsidRDefault="00CA7309">
      <w:pPr>
        <w:spacing w:line="1" w:lineRule="exact"/>
      </w:pPr>
    </w:p>
    <w:p w:rsidR="00CA7309" w:rsidRDefault="00D55EBD">
      <w:pPr>
        <w:pStyle w:val="BodyText"/>
        <w:framePr w:w="14424" w:h="1070" w:hRule="exact" w:wrap="none" w:vAnchor="page" w:hAnchor="page" w:x="889" w:y="2030"/>
        <w:spacing w:after="50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Квалификационна характеристика</w:t>
      </w:r>
    </w:p>
    <w:p w:rsidR="00CA7309" w:rsidRDefault="00D55EBD">
      <w:pPr>
        <w:pStyle w:val="BodyText"/>
        <w:framePr w:w="14424" w:h="1070" w:hRule="exact" w:wrap="none" w:vAnchor="page" w:hAnchor="page" w:x="889" w:y="2030"/>
        <w:tabs>
          <w:tab w:val="left" w:pos="2040"/>
        </w:tabs>
        <w:spacing w:after="0" w:line="240" w:lineRule="auto"/>
      </w:pPr>
      <w:r>
        <w:rPr>
          <w:b/>
          <w:bCs/>
          <w:i/>
          <w:iCs/>
        </w:rPr>
        <w:t>Специалност:</w:t>
      </w:r>
      <w:r>
        <w:rPr>
          <w:b/>
          <w:bCs/>
          <w:i/>
          <w:iCs/>
        </w:rPr>
        <w:tab/>
        <w:t>Индология</w:t>
      </w:r>
    </w:p>
    <w:p w:rsidR="00CA7309" w:rsidRDefault="00D55EBD">
      <w:pPr>
        <w:pStyle w:val="Heading20"/>
        <w:framePr w:w="14424" w:h="1680" w:hRule="exact" w:wrap="none" w:vAnchor="page" w:hAnchor="page" w:x="889" w:y="3893"/>
        <w:numPr>
          <w:ilvl w:val="0"/>
          <w:numId w:val="1"/>
        </w:numPr>
        <w:tabs>
          <w:tab w:val="left" w:pos="294"/>
        </w:tabs>
        <w:spacing w:after="0" w:line="259" w:lineRule="auto"/>
      </w:pPr>
      <w:bookmarkStart w:id="2" w:name="bookmark2"/>
      <w:r>
        <w:t>Насоченост, образователни цели</w:t>
      </w:r>
      <w:bookmarkEnd w:id="2"/>
    </w:p>
    <w:p w:rsidR="00CA7309" w:rsidRDefault="00D55EBD">
      <w:pPr>
        <w:pStyle w:val="BodyText"/>
        <w:framePr w:w="14424" w:h="1680" w:hRule="exact" w:wrap="none" w:vAnchor="page" w:hAnchor="page" w:x="889" w:y="3893"/>
        <w:spacing w:after="0"/>
      </w:pPr>
      <w:r>
        <w:t>Обучението в бакалавърската програма на специалност Индология е съобразено с академичните критерии за филологическа и обща</w:t>
      </w:r>
      <w:r>
        <w:br/>
        <w:t>хуманитарна подготовка и компетентност, утвърдени във Факултета по класически и нови филологии и в Софийския университет, а така</w:t>
      </w:r>
      <w:r>
        <w:br/>
        <w:t>също и с методиката на преподаване и тематичния обхват на водещите индологически школи в Индия и в Европа. Обучителният процес</w:t>
      </w:r>
      <w:r>
        <w:br/>
        <w:t>в бакалавърската програма на специалността има за цел да подготвя индолози, чиито знания и професионални умения ги правят</w:t>
      </w:r>
      <w:r>
        <w:br/>
        <w:t>конкурентоспособни на трудовия пазар както у нас, така и по света.</w:t>
      </w:r>
    </w:p>
    <w:p w:rsidR="00CA7309" w:rsidRDefault="00D55EBD">
      <w:pPr>
        <w:pStyle w:val="BodyText"/>
        <w:framePr w:w="14424" w:h="3878" w:hRule="exact" w:wrap="none" w:vAnchor="page" w:hAnchor="page" w:x="889" w:y="6321"/>
        <w:numPr>
          <w:ilvl w:val="0"/>
          <w:numId w:val="1"/>
        </w:numPr>
        <w:tabs>
          <w:tab w:val="left" w:pos="303"/>
        </w:tabs>
        <w:spacing w:after="420" w:line="264" w:lineRule="auto"/>
      </w:pPr>
      <w:r>
        <w:rPr>
          <w:b/>
          <w:bCs/>
        </w:rPr>
        <w:t>Обучение (знания и умения, необходими за успешна професионална дейност; общотеоретична и специална подготовка и др.)</w:t>
      </w:r>
      <w:r>
        <w:rPr>
          <w:b/>
          <w:bCs/>
        </w:rPr>
        <w:br/>
      </w:r>
      <w:r>
        <w:t>В хода на обучението си студентите се запознават с три индийски езика - един древен и два съвременни, а именно санскрит, хинди, урду.</w:t>
      </w:r>
      <w:r>
        <w:br/>
        <w:t>Интензивното обучение по хинди осигурява много висока степен на езикова компетентност, която може да се допълни с възможност за</w:t>
      </w:r>
      <w:r>
        <w:br/>
        <w:t>едногодишна специализация в Централния институт по хинди в Агра, Индия. Съпътстващите теоретични дисциплини запознават както с</w:t>
      </w:r>
      <w:r>
        <w:br/>
        <w:t>културното развитие на Индийския субконтинент, с литературите и религиите на хиндиезичния ареал, така и с политическата и</w:t>
      </w:r>
      <w:r>
        <w:br/>
        <w:t>икономическата история на Индия.</w:t>
      </w:r>
    </w:p>
    <w:p w:rsidR="00CA7309" w:rsidRDefault="00D55EBD">
      <w:pPr>
        <w:pStyle w:val="Heading20"/>
        <w:framePr w:w="14424" w:h="3878" w:hRule="exact" w:wrap="none" w:vAnchor="page" w:hAnchor="page" w:x="889" w:y="6321"/>
        <w:numPr>
          <w:ilvl w:val="0"/>
          <w:numId w:val="1"/>
        </w:numPr>
        <w:tabs>
          <w:tab w:val="left" w:pos="303"/>
        </w:tabs>
        <w:spacing w:after="120" w:line="264" w:lineRule="auto"/>
        <w:jc w:val="both"/>
      </w:pPr>
      <w:bookmarkStart w:id="3" w:name="bookmark4"/>
      <w:r>
        <w:t>Професионални компетенции</w:t>
      </w:r>
      <w:bookmarkEnd w:id="3"/>
    </w:p>
    <w:p w:rsidR="00CA7309" w:rsidRDefault="00D55EBD">
      <w:pPr>
        <w:pStyle w:val="BodyText"/>
        <w:framePr w:w="14424" w:h="3878" w:hRule="exact" w:wrap="none" w:vAnchor="page" w:hAnchor="page" w:x="889" w:y="6321"/>
        <w:spacing w:after="0"/>
        <w:jc w:val="both"/>
      </w:pPr>
      <w:r>
        <w:t>Завършилите специалност Индология владеят писмено и говоримо съвременните индийски езици хинди и урду. Усвояването на санскрит</w:t>
      </w:r>
      <w:r>
        <w:br/>
        <w:t>разширява индологическата им и филологическа ерудираност. Дипломираните индолози притежават задълбочени познания по индийска</w:t>
      </w:r>
      <w:r>
        <w:br/>
        <w:t>литература, езикознание, история и философия на Индия, запознати са с различните аспекти на съвременната реалност в Р Индия -</w:t>
      </w:r>
      <w:r>
        <w:br/>
        <w:t>управление, стопанска сфера, демографска картина, външна политика, култура, религии. Получената солидна подготовка им дава</w:t>
      </w:r>
      <w:r>
        <w:br/>
        <w:t>възможност да надграждат знанията си в различни професионални направления с регионална специализация върху Индия.</w:t>
      </w:r>
    </w:p>
    <w:p w:rsidR="00CA7309" w:rsidRDefault="00D55EBD">
      <w:pPr>
        <w:pStyle w:val="BodyText"/>
        <w:framePr w:wrap="none" w:vAnchor="page" w:hAnchor="page" w:x="889" w:y="10613"/>
        <w:numPr>
          <w:ilvl w:val="0"/>
          <w:numId w:val="1"/>
        </w:numPr>
        <w:tabs>
          <w:tab w:val="left" w:pos="308"/>
        </w:tabs>
        <w:spacing w:after="0" w:line="240" w:lineRule="auto"/>
        <w:jc w:val="both"/>
      </w:pPr>
      <w:r>
        <w:rPr>
          <w:b/>
          <w:bCs/>
        </w:rPr>
        <w:t>Професионална реализация</w:t>
      </w:r>
    </w:p>
    <w:p w:rsidR="00CA7309" w:rsidRDefault="00CA7309">
      <w:pPr>
        <w:spacing w:line="1" w:lineRule="exact"/>
        <w:sectPr w:rsidR="00CA7309">
          <w:pgSz w:w="16834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7309" w:rsidRDefault="00CA7309">
      <w:pPr>
        <w:spacing w:line="1" w:lineRule="exact"/>
      </w:pPr>
    </w:p>
    <w:p w:rsidR="00CA7309" w:rsidRDefault="00D55EBD">
      <w:pPr>
        <w:pStyle w:val="BodyText"/>
        <w:framePr w:w="14424" w:h="3576" w:hRule="exact" w:wrap="none" w:vAnchor="page" w:hAnchor="page" w:x="889" w:y="1182"/>
        <w:spacing w:after="0"/>
      </w:pPr>
      <w:r>
        <w:t>Дипломираните в специалност Индология бакалаври могат да се реализират като:</w:t>
      </w:r>
    </w:p>
    <w:p w:rsidR="00CA7309" w:rsidRDefault="00D55EBD">
      <w:pPr>
        <w:pStyle w:val="BodyText"/>
        <w:framePr w:w="14424" w:h="3576" w:hRule="exact" w:wrap="none" w:vAnchor="page" w:hAnchor="page" w:x="889" w:y="1182"/>
        <w:numPr>
          <w:ilvl w:val="0"/>
          <w:numId w:val="2"/>
        </w:numPr>
        <w:tabs>
          <w:tab w:val="left" w:pos="258"/>
        </w:tabs>
        <w:spacing w:after="0"/>
      </w:pPr>
      <w:r>
        <w:t>преподаватели по езици в общообразователни и специализирани средни училища;</w:t>
      </w:r>
    </w:p>
    <w:p w:rsidR="00CA7309" w:rsidRDefault="00D55EBD">
      <w:pPr>
        <w:pStyle w:val="BodyText"/>
        <w:framePr w:w="14424" w:h="3576" w:hRule="exact" w:wrap="none" w:vAnchor="page" w:hAnchor="page" w:x="889" w:y="1182"/>
        <w:numPr>
          <w:ilvl w:val="0"/>
          <w:numId w:val="2"/>
        </w:numPr>
        <w:tabs>
          <w:tab w:val="left" w:pos="258"/>
        </w:tabs>
        <w:spacing w:after="0"/>
      </w:pPr>
      <w:r>
        <w:t>преподаватели в колежи и висши училища;</w:t>
      </w:r>
    </w:p>
    <w:p w:rsidR="00CA7309" w:rsidRDefault="00D55EBD">
      <w:pPr>
        <w:pStyle w:val="BodyText"/>
        <w:framePr w:w="14424" w:h="3576" w:hRule="exact" w:wrap="none" w:vAnchor="page" w:hAnchor="page" w:x="889" w:y="1182"/>
        <w:numPr>
          <w:ilvl w:val="0"/>
          <w:numId w:val="2"/>
        </w:numPr>
        <w:tabs>
          <w:tab w:val="left" w:pos="258"/>
        </w:tabs>
        <w:spacing w:after="0"/>
      </w:pPr>
      <w:r>
        <w:t>специалисти в различните ведомства на държавната власт, занимаващи се с българо-индийските отношения;</w:t>
      </w:r>
    </w:p>
    <w:p w:rsidR="00CA7309" w:rsidRDefault="00D55EBD">
      <w:pPr>
        <w:pStyle w:val="BodyText"/>
        <w:framePr w:w="14424" w:h="3576" w:hRule="exact" w:wrap="none" w:vAnchor="page" w:hAnchor="page" w:x="889" w:y="1182"/>
        <w:numPr>
          <w:ilvl w:val="0"/>
          <w:numId w:val="2"/>
        </w:numPr>
        <w:tabs>
          <w:tab w:val="left" w:pos="258"/>
        </w:tabs>
        <w:spacing w:after="0"/>
      </w:pPr>
      <w:r>
        <w:t>преводачи от и на индийски езици, както и по специализирана проблематика за Индия от други езици;</w:t>
      </w:r>
    </w:p>
    <w:p w:rsidR="00CA7309" w:rsidRDefault="00D55EBD">
      <w:pPr>
        <w:pStyle w:val="BodyText"/>
        <w:framePr w:w="14424" w:h="3576" w:hRule="exact" w:wrap="none" w:vAnchor="page" w:hAnchor="page" w:x="889" w:y="1182"/>
        <w:numPr>
          <w:ilvl w:val="0"/>
          <w:numId w:val="2"/>
        </w:numPr>
        <w:tabs>
          <w:tab w:val="left" w:pos="258"/>
        </w:tabs>
        <w:spacing w:after="0"/>
      </w:pPr>
      <w:r>
        <w:t>журналисти, работещи по проблемите на Индия и региона;</w:t>
      </w:r>
    </w:p>
    <w:p w:rsidR="00CA7309" w:rsidRDefault="00D55EBD">
      <w:pPr>
        <w:pStyle w:val="BodyText"/>
        <w:framePr w:w="14424" w:h="3576" w:hRule="exact" w:wrap="none" w:vAnchor="page" w:hAnchor="page" w:x="889" w:y="1182"/>
        <w:numPr>
          <w:ilvl w:val="0"/>
          <w:numId w:val="2"/>
        </w:numPr>
        <w:tabs>
          <w:tab w:val="left" w:pos="258"/>
        </w:tabs>
        <w:spacing w:after="0"/>
      </w:pPr>
      <w:r>
        <w:t>консултанти в областта на литературата, езиците, културата, религиите, историята и съвременното развитие на Индия;</w:t>
      </w:r>
    </w:p>
    <w:p w:rsidR="00CA7309" w:rsidRDefault="00D55EBD">
      <w:pPr>
        <w:pStyle w:val="BodyText"/>
        <w:framePr w:w="14424" w:h="3576" w:hRule="exact" w:wrap="none" w:vAnchor="page" w:hAnchor="page" w:x="889" w:y="1182"/>
        <w:numPr>
          <w:ilvl w:val="0"/>
          <w:numId w:val="2"/>
        </w:numPr>
        <w:tabs>
          <w:tab w:val="left" w:pos="258"/>
        </w:tabs>
        <w:spacing w:after="0"/>
      </w:pPr>
      <w:r>
        <w:t>експерти и консултанти в наши и чуждестранни фирми, в туристическия бизнес, в издателския бранш, в библиотеките и др.</w:t>
      </w:r>
      <w:r>
        <w:br/>
        <w:t>Освен в своята собствена област те могат да бъдат полезни и да бъдат привличани като специалисти и консултанти:</w:t>
      </w:r>
    </w:p>
    <w:p w:rsidR="00CA7309" w:rsidRDefault="00D55EBD">
      <w:pPr>
        <w:pStyle w:val="BodyText"/>
        <w:framePr w:w="14424" w:h="3576" w:hRule="exact" w:wrap="none" w:vAnchor="page" w:hAnchor="page" w:x="889" w:y="1182"/>
        <w:numPr>
          <w:ilvl w:val="0"/>
          <w:numId w:val="2"/>
        </w:numPr>
        <w:tabs>
          <w:tab w:val="left" w:pos="258"/>
        </w:tabs>
        <w:spacing w:after="0"/>
      </w:pPr>
      <w:r>
        <w:t>в областта на общата лингвистика и сравнителното езикознание;</w:t>
      </w:r>
    </w:p>
    <w:p w:rsidR="00CA7309" w:rsidRDefault="00D55EBD">
      <w:pPr>
        <w:pStyle w:val="BodyText"/>
        <w:framePr w:w="14424" w:h="3576" w:hRule="exact" w:wrap="none" w:vAnchor="page" w:hAnchor="page" w:x="889" w:y="1182"/>
        <w:numPr>
          <w:ilvl w:val="0"/>
          <w:numId w:val="2"/>
        </w:numPr>
        <w:tabs>
          <w:tab w:val="left" w:pos="258"/>
        </w:tabs>
        <w:spacing w:after="0"/>
      </w:pPr>
      <w:r>
        <w:t>по проблемите на чуждоезиковото обучение;</w:t>
      </w:r>
    </w:p>
    <w:p w:rsidR="00CA7309" w:rsidRDefault="00D55EBD">
      <w:pPr>
        <w:pStyle w:val="BodyText"/>
        <w:framePr w:w="14424" w:h="3576" w:hRule="exact" w:wrap="none" w:vAnchor="page" w:hAnchor="page" w:x="889" w:y="1182"/>
        <w:numPr>
          <w:ilvl w:val="0"/>
          <w:numId w:val="2"/>
        </w:numPr>
        <w:tabs>
          <w:tab w:val="left" w:pos="258"/>
        </w:tabs>
        <w:spacing w:after="0"/>
      </w:pPr>
      <w:r>
        <w:t>по въпроси на литературната теория и историята на литературата;</w:t>
      </w:r>
    </w:p>
    <w:p w:rsidR="00CA7309" w:rsidRDefault="00D55EBD">
      <w:pPr>
        <w:pStyle w:val="BodyText"/>
        <w:framePr w:w="14424" w:h="3576" w:hRule="exact" w:wrap="none" w:vAnchor="page" w:hAnchor="page" w:x="889" w:y="1182"/>
        <w:numPr>
          <w:ilvl w:val="0"/>
          <w:numId w:val="2"/>
        </w:numPr>
        <w:tabs>
          <w:tab w:val="left" w:pos="258"/>
        </w:tabs>
        <w:spacing w:after="0"/>
      </w:pPr>
      <w:r>
        <w:t>в осъществяването на интердисциплинарни проекти в областта на образованието и изкуствата.</w:t>
      </w:r>
    </w:p>
    <w:p w:rsidR="00CA7309" w:rsidRDefault="00CA7309">
      <w:pPr>
        <w:spacing w:line="1" w:lineRule="exact"/>
      </w:pPr>
    </w:p>
    <w:sectPr w:rsidR="00CA7309">
      <w:pgSz w:w="16834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182" w:rsidRDefault="00F91182">
      <w:r>
        <w:separator/>
      </w:r>
    </w:p>
  </w:endnote>
  <w:endnote w:type="continuationSeparator" w:id="0">
    <w:p w:rsidR="00F91182" w:rsidRDefault="00F9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182" w:rsidRDefault="00F91182"/>
  </w:footnote>
  <w:footnote w:type="continuationSeparator" w:id="0">
    <w:p w:rsidR="00F91182" w:rsidRDefault="00F911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B0BAD"/>
    <w:multiLevelType w:val="multilevel"/>
    <w:tmpl w:val="16D8D1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CD107B"/>
    <w:multiLevelType w:val="multilevel"/>
    <w:tmpl w:val="E9920B9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09"/>
    <w:rsid w:val="006F1676"/>
    <w:rsid w:val="00AB3CD2"/>
    <w:rsid w:val="00C33F28"/>
    <w:rsid w:val="00CA22DE"/>
    <w:rsid w:val="00CA7309"/>
    <w:rsid w:val="00D55EBD"/>
    <w:rsid w:val="00F9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0FB15D-FFE8-4D19-ACF0-14F8BB7A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pPr>
      <w:spacing w:after="650"/>
      <w:ind w:left="1170"/>
    </w:pPr>
    <w:rPr>
      <w:rFonts w:ascii="Arial" w:eastAsia="Arial" w:hAnsi="Arial" w:cs="Arial"/>
      <w:sz w:val="32"/>
      <w:szCs w:val="32"/>
      <w:u w:val="single"/>
    </w:rPr>
  </w:style>
  <w:style w:type="paragraph" w:customStyle="1" w:styleId="Heading10">
    <w:name w:val="Heading #1"/>
    <w:basedOn w:val="Normal"/>
    <w:link w:val="Heading1"/>
    <w:pPr>
      <w:spacing w:after="380"/>
      <w:ind w:left="2580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BodyText">
    <w:name w:val="Body Text"/>
    <w:basedOn w:val="Normal"/>
    <w:link w:val="BodyTextChar"/>
    <w:qFormat/>
    <w:pPr>
      <w:spacing w:after="320" w:line="259" w:lineRule="auto"/>
    </w:pPr>
    <w:rPr>
      <w:rFonts w:ascii="Arial" w:eastAsia="Arial" w:hAnsi="Arial" w:cs="Arial"/>
      <w:sz w:val="22"/>
      <w:szCs w:val="22"/>
    </w:rPr>
  </w:style>
  <w:style w:type="paragraph" w:customStyle="1" w:styleId="Other0">
    <w:name w:val="Other"/>
    <w:basedOn w:val="Normal"/>
    <w:link w:val="Other"/>
    <w:pPr>
      <w:spacing w:after="320" w:line="259" w:lineRule="auto"/>
    </w:pPr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al"/>
    <w:link w:val="Heading2"/>
    <w:pPr>
      <w:spacing w:after="60" w:line="262" w:lineRule="auto"/>
      <w:outlineLvl w:val="1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cp:lastModifiedBy>Katya</cp:lastModifiedBy>
  <cp:revision>4</cp:revision>
  <dcterms:created xsi:type="dcterms:W3CDTF">2023-09-28T09:00:00Z</dcterms:created>
  <dcterms:modified xsi:type="dcterms:W3CDTF">2023-10-12T12:08:00Z</dcterms:modified>
</cp:coreProperties>
</file>