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D82" w:rsidRPr="001437B7" w:rsidRDefault="00347D82" w:rsidP="00347D82">
      <w:pPr>
        <w:numPr>
          <w:ilvl w:val="1"/>
          <w:numId w:val="1"/>
        </w:numPr>
        <w:tabs>
          <w:tab w:val="left" w:pos="386"/>
        </w:tabs>
        <w:spacing w:line="264" w:lineRule="auto"/>
        <w:ind w:left="385" w:hanging="270"/>
        <w:jc w:val="both"/>
        <w:textAlignment w:val="center"/>
        <w:rPr>
          <w:rFonts w:ascii="TimesNewRomanPS-BoldMT" w:eastAsia="HiraginoSans-W3" w:hAnsi="TimesNewRomanPS-BoldMT" w:cs="TimesNewRomanPS-BoldMT"/>
          <w:b/>
          <w:bCs/>
          <w:color w:val="000000"/>
          <w:spacing w:val="-2"/>
          <w:kern w:val="1"/>
          <w:sz w:val="20"/>
          <w:szCs w:val="20"/>
          <w:lang w:val="bg-BG"/>
        </w:rPr>
      </w:pP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Магистърска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spacing w:val="46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програма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kern w:val="1"/>
          <w:sz w:val="20"/>
          <w:szCs w:val="20"/>
          <w:lang w:val="bg-BG"/>
        </w:rPr>
        <w:t>: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spacing w:val="49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spacing w:val="49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spacing w:val="47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култура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spacing w:val="49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kern w:val="1"/>
          <w:sz w:val="20"/>
          <w:szCs w:val="20"/>
          <w:lang w:val="bg-BG"/>
        </w:rPr>
        <w:t>(</w:t>
      </w: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spacing w:val="48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Bold" w:eastAsia="HiraginoSans-W3" w:hAnsi="Times-Bold" w:cs="Times-Bold"/>
          <w:b/>
          <w:bCs/>
          <w:color w:val="000000"/>
          <w:spacing w:val="-2"/>
          <w:kern w:val="1"/>
          <w:sz w:val="20"/>
          <w:szCs w:val="20"/>
          <w:lang w:val="bg-BG"/>
        </w:rPr>
        <w:t>език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spacing w:val="-2"/>
          <w:kern w:val="1"/>
          <w:sz w:val="20"/>
          <w:szCs w:val="20"/>
          <w:lang w:val="bg-BG"/>
        </w:rPr>
        <w:t>)</w:t>
      </w:r>
    </w:p>
    <w:p w:rsidR="00347D82" w:rsidRPr="001437B7" w:rsidRDefault="00347D82" w:rsidP="00347D82">
      <w:pPr>
        <w:spacing w:before="1" w:line="232" w:lineRule="auto"/>
        <w:ind w:right="3304"/>
        <w:jc w:val="both"/>
        <w:textAlignment w:val="center"/>
        <w:rPr>
          <w:rFonts w:eastAsia="HiraginoSans-W3"/>
          <w:color w:val="000000"/>
          <w:kern w:val="1"/>
          <w:sz w:val="20"/>
          <w:szCs w:val="20"/>
          <w:lang w:val="bg-BG"/>
        </w:rPr>
      </w:pPr>
      <w:r w:rsidRPr="001437B7">
        <w:rPr>
          <w:rFonts w:eastAsia="HiraginoSans-W3"/>
          <w:i/>
          <w:iCs/>
          <w:color w:val="000000"/>
          <w:kern w:val="1"/>
          <w:sz w:val="20"/>
          <w:szCs w:val="20"/>
          <w:lang w:val="bg-BG"/>
        </w:rPr>
        <w:t>Срок на обучение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 xml:space="preserve">: 3 семестъра </w:t>
      </w:r>
      <w:r w:rsidRPr="001437B7">
        <w:rPr>
          <w:rFonts w:eastAsia="HiraginoSans-W3"/>
          <w:i/>
          <w:iCs/>
          <w:color w:val="000000"/>
          <w:kern w:val="1"/>
          <w:sz w:val="20"/>
          <w:szCs w:val="20"/>
          <w:lang w:val="bg-BG"/>
        </w:rPr>
        <w:t>Форма на обучение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 xml:space="preserve">: редовна </w:t>
      </w:r>
    </w:p>
    <w:p w:rsidR="00347D82" w:rsidRPr="001437B7" w:rsidRDefault="00347D82" w:rsidP="00347D82">
      <w:pPr>
        <w:spacing w:before="1" w:line="232" w:lineRule="auto"/>
        <w:ind w:right="3304"/>
        <w:jc w:val="both"/>
        <w:textAlignment w:val="center"/>
        <w:rPr>
          <w:rFonts w:eastAsia="HiraginoSans-W3"/>
          <w:i/>
          <w:iCs/>
          <w:color w:val="000000"/>
          <w:spacing w:val="-2"/>
          <w:kern w:val="1"/>
          <w:sz w:val="20"/>
          <w:szCs w:val="20"/>
          <w:lang w:val="bg-BG"/>
        </w:rPr>
      </w:pPr>
      <w:r w:rsidRPr="001437B7">
        <w:rPr>
          <w:rFonts w:eastAsia="HiraginoSans-W3"/>
          <w:i/>
          <w:iCs/>
          <w:color w:val="000000"/>
          <w:spacing w:val="-2"/>
          <w:kern w:val="1"/>
          <w:sz w:val="20"/>
          <w:szCs w:val="20"/>
          <w:lang w:val="bg-BG"/>
        </w:rPr>
        <w:t>Ръководители:</w:t>
      </w:r>
    </w:p>
    <w:p w:rsidR="00347D82" w:rsidRPr="001437B7" w:rsidRDefault="00347D82" w:rsidP="00347D82">
      <w:pPr>
        <w:spacing w:line="224" w:lineRule="exact"/>
        <w:jc w:val="both"/>
        <w:textAlignment w:val="center"/>
        <w:rPr>
          <w:rFonts w:eastAsia="HiraginoSans-W3"/>
          <w:color w:val="000000"/>
          <w:spacing w:val="-2"/>
          <w:kern w:val="1"/>
          <w:sz w:val="20"/>
          <w:szCs w:val="20"/>
          <w:lang w:val="bg-BG"/>
        </w:rPr>
      </w:pP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проф.</w:t>
      </w:r>
      <w:r w:rsidRPr="001437B7">
        <w:rPr>
          <w:rFonts w:eastAsia="HiraginoSans-W3"/>
          <w:color w:val="000000"/>
          <w:spacing w:val="52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д-р</w:t>
      </w:r>
      <w:r w:rsidRPr="001437B7">
        <w:rPr>
          <w:rFonts w:eastAsia="HiraginoSans-W3"/>
          <w:color w:val="000000"/>
          <w:spacing w:val="55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Корнелия</w:t>
      </w:r>
      <w:r w:rsidRPr="001437B7">
        <w:rPr>
          <w:rFonts w:eastAsia="HiraginoSans-W3"/>
          <w:color w:val="000000"/>
          <w:spacing w:val="54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Славова</w:t>
      </w:r>
      <w:r w:rsidRPr="001437B7">
        <w:rPr>
          <w:rFonts w:eastAsia="HiraginoSans-W3"/>
          <w:color w:val="000000"/>
          <w:spacing w:val="54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–</w:t>
      </w:r>
      <w:r w:rsidRPr="001437B7">
        <w:rPr>
          <w:rFonts w:eastAsia="HiraginoSans-W3"/>
          <w:color w:val="000000"/>
          <w:spacing w:val="55"/>
          <w:kern w:val="1"/>
          <w:sz w:val="20"/>
          <w:szCs w:val="20"/>
          <w:lang w:val="bg-BG"/>
        </w:rPr>
        <w:t xml:space="preserve"> </w:t>
      </w:r>
      <w:hyperlink r:id="rId5" w:history="1">
        <w:r w:rsidRPr="001437B7">
          <w:rPr>
            <w:rFonts w:eastAsia="HiraginoSans-W3"/>
            <w:color w:val="000000"/>
            <w:kern w:val="1"/>
            <w:sz w:val="20"/>
            <w:szCs w:val="20"/>
            <w:lang w:val="bg-BG"/>
          </w:rPr>
          <w:t>kdslavova@uni-</w:t>
        </w:r>
        <w:r w:rsidRPr="001437B7">
          <w:rPr>
            <w:rFonts w:eastAsia="HiraginoSans-W3"/>
            <w:color w:val="000000"/>
            <w:spacing w:val="-2"/>
            <w:kern w:val="1"/>
            <w:sz w:val="20"/>
            <w:szCs w:val="20"/>
            <w:lang w:val="bg-BG"/>
          </w:rPr>
          <w:t>sofia.bg</w:t>
        </w:r>
      </w:hyperlink>
    </w:p>
    <w:p w:rsidR="00347D82" w:rsidRPr="001437B7" w:rsidRDefault="00347D82" w:rsidP="00347D82">
      <w:pPr>
        <w:spacing w:line="224" w:lineRule="exact"/>
        <w:jc w:val="both"/>
        <w:textAlignment w:val="center"/>
        <w:rPr>
          <w:rFonts w:eastAsia="HiraginoSans-W3"/>
          <w:color w:val="000000"/>
          <w:spacing w:val="-2"/>
          <w:kern w:val="1"/>
          <w:sz w:val="20"/>
          <w:szCs w:val="20"/>
          <w:lang w:val="bg-BG"/>
        </w:rPr>
      </w:pPr>
      <w:r w:rsidRPr="001437B7">
        <w:rPr>
          <w:rFonts w:eastAsia="HiraginoSans-W3"/>
          <w:kern w:val="1"/>
          <w:sz w:val="20"/>
          <w:szCs w:val="20"/>
          <w:lang w:val="bg-BG"/>
        </w:rPr>
        <w:t>проф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.</w:t>
      </w:r>
      <w:r w:rsidRPr="001437B7">
        <w:rPr>
          <w:rFonts w:eastAsia="HiraginoSans-W3"/>
          <w:color w:val="000000"/>
          <w:spacing w:val="58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д-р</w:t>
      </w:r>
      <w:r w:rsidRPr="001437B7">
        <w:rPr>
          <w:rFonts w:eastAsia="HiraginoSans-W3"/>
          <w:color w:val="000000"/>
          <w:spacing w:val="59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Александра</w:t>
      </w:r>
      <w:r w:rsidRPr="001437B7">
        <w:rPr>
          <w:rFonts w:eastAsia="HiraginoSans-W3"/>
          <w:color w:val="000000"/>
          <w:spacing w:val="59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Багашева</w:t>
      </w:r>
      <w:proofErr w:type="spellEnd"/>
      <w:r w:rsidRPr="001437B7">
        <w:rPr>
          <w:rFonts w:eastAsia="HiraginoSans-W3"/>
          <w:color w:val="000000"/>
          <w:spacing w:val="59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–</w:t>
      </w:r>
      <w:r w:rsidRPr="001437B7">
        <w:rPr>
          <w:rFonts w:eastAsia="HiraginoSans-W3"/>
          <w:color w:val="000000"/>
          <w:spacing w:val="59"/>
          <w:kern w:val="1"/>
          <w:sz w:val="20"/>
          <w:szCs w:val="20"/>
          <w:lang w:val="bg-BG"/>
        </w:rPr>
        <w:t xml:space="preserve"> </w:t>
      </w:r>
      <w:hyperlink r:id="rId6" w:history="1">
        <w:r w:rsidRPr="001437B7">
          <w:rPr>
            <w:rFonts w:eastAsia="HiraginoSans-W3"/>
            <w:color w:val="000000"/>
            <w:kern w:val="1"/>
            <w:sz w:val="20"/>
            <w:szCs w:val="20"/>
            <w:lang w:val="bg-BG"/>
          </w:rPr>
          <w:t>a.bagasheva@uni-</w:t>
        </w:r>
        <w:r w:rsidRPr="001437B7">
          <w:rPr>
            <w:rFonts w:eastAsia="HiraginoSans-W3"/>
            <w:color w:val="000000"/>
            <w:spacing w:val="-2"/>
            <w:kern w:val="1"/>
            <w:sz w:val="20"/>
            <w:szCs w:val="20"/>
            <w:lang w:val="bg-BG"/>
          </w:rPr>
          <w:t>sofia.bg</w:t>
        </w:r>
      </w:hyperlink>
    </w:p>
    <w:p w:rsidR="00347D82" w:rsidRPr="001437B7" w:rsidRDefault="00347D82" w:rsidP="00347D82">
      <w:pPr>
        <w:spacing w:line="227" w:lineRule="exact"/>
        <w:ind w:left="527" w:firstLine="340"/>
        <w:jc w:val="both"/>
        <w:textAlignment w:val="center"/>
        <w:rPr>
          <w:rFonts w:eastAsia="HiraginoSans-W3"/>
          <w:color w:val="000000"/>
          <w:spacing w:val="-5"/>
          <w:kern w:val="1"/>
          <w:sz w:val="20"/>
          <w:szCs w:val="20"/>
          <w:lang w:val="bg-BG"/>
        </w:rPr>
      </w:pPr>
      <w:r w:rsidRPr="001437B7">
        <w:rPr>
          <w:rFonts w:eastAsia="HiraginoSans-W3"/>
          <w:i/>
          <w:iCs/>
          <w:color w:val="000000"/>
          <w:kern w:val="1"/>
          <w:sz w:val="20"/>
          <w:szCs w:val="20"/>
          <w:lang w:val="bg-BG"/>
        </w:rPr>
        <w:t>тел.:</w:t>
      </w:r>
      <w:r w:rsidRPr="001437B7">
        <w:rPr>
          <w:rFonts w:eastAsia="HiraginoSans-W3"/>
          <w:i/>
          <w:iCs/>
          <w:color w:val="000000"/>
          <w:spacing w:val="39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>9308</w:t>
      </w:r>
      <w:r w:rsidRPr="001437B7">
        <w:rPr>
          <w:rFonts w:eastAsia="HiraginoSans-W3"/>
          <w:color w:val="000000"/>
          <w:spacing w:val="39"/>
          <w:kern w:val="1"/>
          <w:sz w:val="20"/>
          <w:szCs w:val="20"/>
          <w:lang w:val="bg-BG"/>
        </w:rPr>
        <w:t xml:space="preserve"> </w:t>
      </w:r>
      <w:r w:rsidRPr="001437B7">
        <w:rPr>
          <w:rFonts w:eastAsia="HiraginoSans-W3"/>
          <w:color w:val="000000"/>
          <w:spacing w:val="-5"/>
          <w:kern w:val="1"/>
          <w:sz w:val="20"/>
          <w:szCs w:val="20"/>
          <w:lang w:val="bg-BG"/>
        </w:rPr>
        <w:t>314</w:t>
      </w:r>
    </w:p>
    <w:p w:rsidR="00347D82" w:rsidRPr="001437B7" w:rsidRDefault="00347D82" w:rsidP="00347D82">
      <w:pPr>
        <w:spacing w:before="4"/>
        <w:jc w:val="both"/>
        <w:textAlignment w:val="center"/>
        <w:rPr>
          <w:rFonts w:eastAsia="HiraginoSans-W3"/>
          <w:color w:val="000000"/>
          <w:kern w:val="1"/>
          <w:sz w:val="20"/>
          <w:szCs w:val="20"/>
          <w:lang w:val="bg-BG"/>
        </w:rPr>
      </w:pPr>
    </w:p>
    <w:p w:rsidR="00347D82" w:rsidRPr="001437B7" w:rsidRDefault="00347D82" w:rsidP="00347D82">
      <w:pPr>
        <w:spacing w:before="1" w:line="232" w:lineRule="auto"/>
        <w:ind w:right="2384"/>
        <w:jc w:val="both"/>
        <w:textAlignment w:val="center"/>
        <w:rPr>
          <w:rFonts w:eastAsia="HiraginoSans-W3"/>
          <w:color w:val="000000"/>
          <w:spacing w:val="-2"/>
          <w:kern w:val="1"/>
          <w:sz w:val="20"/>
          <w:szCs w:val="20"/>
          <w:lang w:val="bg-BG"/>
        </w:rPr>
      </w:pPr>
      <w:r w:rsidRPr="001437B7">
        <w:rPr>
          <w:rFonts w:eastAsia="HiraginoSans-W3"/>
          <w:color w:val="000000"/>
          <w:kern w:val="1"/>
          <w:sz w:val="20"/>
          <w:szCs w:val="20"/>
          <w:lang w:val="bg-BG"/>
        </w:rPr>
        <w:t xml:space="preserve">За повече информация: </w:t>
      </w:r>
      <w:r w:rsidRPr="001437B7">
        <w:rPr>
          <w:rFonts w:eastAsia="HiraginoSans-W3"/>
          <w:color w:val="000000"/>
          <w:spacing w:val="-2"/>
          <w:kern w:val="1"/>
          <w:sz w:val="20"/>
          <w:szCs w:val="20"/>
          <w:lang w:val="bg-BG"/>
        </w:rPr>
        <w:t>https://languageandculture.edublogs.org/</w:t>
      </w:r>
      <w:r w:rsidRPr="001437B7">
        <w:rPr>
          <w:rFonts w:eastAsia="HiraginoSans-W3"/>
          <w:color w:val="000000"/>
          <w:spacing w:val="80"/>
          <w:kern w:val="1"/>
          <w:sz w:val="20"/>
          <w:szCs w:val="20"/>
          <w:lang w:val="bg-BG"/>
        </w:rPr>
        <w:t xml:space="preserve"> </w:t>
      </w:r>
      <w:hyperlink r:id="rId7" w:history="1">
        <w:r w:rsidRPr="001437B7">
          <w:rPr>
            <w:rFonts w:eastAsia="HiraginoSans-W3"/>
            <w:color w:val="000000"/>
            <w:spacing w:val="-2"/>
            <w:kern w:val="1"/>
            <w:sz w:val="20"/>
            <w:szCs w:val="20"/>
            <w:lang w:val="bg-BG"/>
          </w:rPr>
          <w:t>www.facebook.com/ma.language.and.culture</w:t>
        </w:r>
      </w:hyperlink>
    </w:p>
    <w:p w:rsidR="00347D82" w:rsidRPr="001437B7" w:rsidRDefault="00347D82" w:rsidP="00347D82">
      <w:pPr>
        <w:ind w:firstLine="340"/>
        <w:jc w:val="both"/>
        <w:textAlignment w:val="center"/>
        <w:rPr>
          <w:rFonts w:eastAsia="HiraginoSans-W3"/>
          <w:color w:val="000000"/>
          <w:kern w:val="1"/>
          <w:sz w:val="20"/>
          <w:szCs w:val="20"/>
          <w:lang w:val="bg-BG"/>
        </w:rPr>
      </w:pPr>
    </w:p>
    <w:p w:rsidR="00347D82" w:rsidRPr="001437B7" w:rsidRDefault="00347D82" w:rsidP="00347D82">
      <w:pPr>
        <w:spacing w:before="197" w:line="232" w:lineRule="auto"/>
        <w:ind w:left="116" w:right="242" w:firstLine="340"/>
        <w:jc w:val="both"/>
        <w:textAlignment w:val="center"/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</w:pP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предлага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специализирана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професионална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подготовка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широк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спектър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лингвистични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социокултурни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дисциплини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свързани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общуването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както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мултикултуралното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езиковото</w:t>
      </w:r>
      <w:r w:rsidRPr="001437B7">
        <w:rPr>
          <w:rFonts w:ascii="TimesNewRomanPSMT" w:eastAsia="HiraginoSans-W3" w:hAnsi="TimesNewRomanPSMT" w:cs="TimesNewRomanPSMT"/>
          <w:color w:val="000000"/>
          <w:spacing w:val="3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многообразие</w:t>
      </w:r>
      <w:r w:rsidRPr="001437B7">
        <w:rPr>
          <w:rFonts w:ascii="TimesNewRomanPSMT" w:eastAsia="HiraginoSans-W3" w:hAnsi="TimesNewRomanPSMT" w:cs="TimesNewRomanPSMT"/>
          <w:color w:val="000000"/>
          <w:spacing w:val="3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spacing w:val="3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съвременния</w:t>
      </w:r>
      <w:r w:rsidRPr="001437B7">
        <w:rPr>
          <w:rFonts w:ascii="TimesNewRomanPSMT" w:eastAsia="HiraginoSans-W3" w:hAnsi="TimesNewRomanPSMT" w:cs="TimesNewRomanPSMT"/>
          <w:color w:val="000000"/>
          <w:spacing w:val="3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свят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.</w:t>
      </w:r>
      <w:r w:rsidRPr="001437B7">
        <w:rPr>
          <w:rFonts w:ascii="TimesNewRomanPSMT" w:eastAsia="HiraginoSans-W3" w:hAnsi="TimesNewRomanPSMT" w:cs="TimesNewRomanPSMT"/>
          <w:color w:val="000000"/>
          <w:spacing w:val="3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Тя</w:t>
      </w:r>
      <w:r w:rsidRPr="001437B7">
        <w:rPr>
          <w:rFonts w:ascii="TimesNewRomanPSMT" w:eastAsia="HiraginoSans-W3" w:hAnsi="TimesNewRomanPSMT" w:cs="TimesNewRomanPSMT"/>
          <w:color w:val="000000"/>
          <w:spacing w:val="3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</w:t>
      </w:r>
      <w:r w:rsidRPr="001437B7">
        <w:rPr>
          <w:rFonts w:ascii="TimesNewRomanPSMT" w:eastAsia="HiraginoSans-W3" w:hAnsi="TimesNewRomanPSMT" w:cs="TimesNewRomanPSMT"/>
          <w:color w:val="000000"/>
          <w:spacing w:val="3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интердисциплинарна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цели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осигури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отлично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владеене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задълбочени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познания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англоезичните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култури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литератури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както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между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-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културната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комуникация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където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англо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-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американският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опит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предлага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водещи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модели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.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Обучението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разширява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филологическата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подготовка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студентите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,</w:t>
      </w:r>
      <w:r w:rsidRPr="001437B7">
        <w:rPr>
          <w:rFonts w:ascii="TimesNewRomanPSMT" w:eastAsia="HiraginoSans-W3" w:hAnsi="TimesNewRomanPSMT" w:cs="TimesNewRomanPSMT"/>
          <w:color w:val="000000"/>
          <w:spacing w:val="58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развива</w:t>
      </w:r>
      <w:r w:rsidRPr="001437B7">
        <w:rPr>
          <w:rFonts w:ascii="TimesNewRomanPSMT" w:eastAsia="HiraginoSans-W3" w:hAnsi="TimesNewRomanPSMT" w:cs="TimesNewRomanPSMT"/>
          <w:color w:val="000000"/>
          <w:spacing w:val="59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тяхното</w:t>
      </w:r>
      <w:r w:rsidRPr="001437B7">
        <w:rPr>
          <w:rFonts w:ascii="TimesNewRomanPSMT" w:eastAsia="HiraginoSans-W3" w:hAnsi="TimesNewRomanPSMT" w:cs="TimesNewRomanPSMT"/>
          <w:color w:val="000000"/>
          <w:spacing w:val="58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критично</w:t>
      </w:r>
      <w:r w:rsidRPr="001437B7">
        <w:rPr>
          <w:rFonts w:ascii="TimesNewRomanPSMT" w:eastAsia="HiraginoSans-W3" w:hAnsi="TimesNewRomanPSMT" w:cs="TimesNewRomanPSMT"/>
          <w:color w:val="000000"/>
          <w:spacing w:val="59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мислене</w:t>
      </w:r>
      <w:r w:rsidRPr="001437B7">
        <w:rPr>
          <w:rFonts w:ascii="TimesNewRomanPSMT" w:eastAsia="HiraginoSans-W3" w:hAnsi="TimesNewRomanPSMT" w:cs="TimesNewRomanPSMT"/>
          <w:color w:val="000000"/>
          <w:spacing w:val="58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spacing w:val="59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аналитични</w:t>
      </w:r>
      <w:r w:rsidRPr="001437B7">
        <w:rPr>
          <w:rFonts w:ascii="TimesNewRomanPSMT" w:eastAsia="HiraginoSans-W3" w:hAnsi="TimesNewRomanPSMT" w:cs="TimesNewRomanPSMT"/>
          <w:color w:val="000000"/>
          <w:spacing w:val="59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spacing w:val="-2"/>
          <w:kern w:val="1"/>
          <w:sz w:val="20"/>
          <w:szCs w:val="20"/>
          <w:lang w:val="bg-BG"/>
        </w:rPr>
        <w:t>умения</w:t>
      </w:r>
      <w:r w:rsidRPr="001437B7">
        <w:rPr>
          <w:rFonts w:ascii="TimesNewRomanPSMT" w:eastAsia="HiraginoSans-W3" w:hAnsi="TimesNewRomanPSMT" w:cs="TimesNewRomanPSMT"/>
          <w:color w:val="000000"/>
          <w:spacing w:val="-2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работа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ниво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текст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дискурс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визуални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културни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практики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отговарящи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нуждите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съвременното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общество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–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особено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сферата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творческите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културните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индустрии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.</w:t>
      </w:r>
    </w:p>
    <w:p w:rsidR="00347D82" w:rsidRPr="001437B7" w:rsidRDefault="00347D82" w:rsidP="00347D82">
      <w:pPr>
        <w:spacing w:before="3" w:line="232" w:lineRule="auto"/>
        <w:ind w:left="230" w:right="129" w:firstLine="340"/>
        <w:jc w:val="both"/>
        <w:textAlignment w:val="center"/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</w:pP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Програмата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отворена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предлага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бакалаври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: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)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-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ска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или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друга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филология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,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които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желаят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повишат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образователната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степен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специализират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различни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области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лингвистиката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англоезичните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култури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литератури</w:t>
      </w:r>
      <w:r w:rsidRPr="001437B7">
        <w:rPr>
          <w:rFonts w:eastAsia="HiraginoSans-W3" w:cs="Times-Roman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б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)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друга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нефилологическа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специалност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.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кандидатите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нефилологическа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подготовка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предвиждат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допълнителни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курсове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базови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филологически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знания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умения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които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подготвят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включването</w:t>
      </w:r>
      <w:r w:rsidRPr="001437B7">
        <w:rPr>
          <w:rFonts w:ascii="TimesNewRomanPSMT" w:eastAsia="HiraginoSans-W3" w:hAnsi="TimesNewRomanPSMT" w:cs="TimesNewRomanPSMT"/>
          <w:color w:val="000000"/>
          <w:spacing w:val="8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им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основния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курс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обучение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.</w:t>
      </w:r>
    </w:p>
    <w:p w:rsidR="00347D82" w:rsidRPr="001437B7" w:rsidRDefault="00347D82" w:rsidP="00347D82">
      <w:pPr>
        <w:spacing w:before="7" w:line="232" w:lineRule="auto"/>
        <w:ind w:left="230" w:right="127" w:firstLine="340"/>
        <w:jc w:val="both"/>
        <w:textAlignment w:val="center"/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</w:pP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Принципът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гъвкавост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обучението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позволява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студентите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избират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курсове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според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своите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интереси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потребности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спазват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изискванията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броя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кредити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които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трябва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наберат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задължи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-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телните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избираемите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дисциплини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.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Някои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курсовете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предлагат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Italic" w:eastAsia="HiraginoSans-W3" w:hAnsi="Times-Italic" w:cs="Times-Italic"/>
          <w:i/>
          <w:iCs/>
          <w:color w:val="000000"/>
          <w:kern w:val="1"/>
          <w:sz w:val="20"/>
          <w:szCs w:val="20"/>
          <w:lang w:val="bg-BG"/>
        </w:rPr>
        <w:t>е</w:t>
      </w:r>
      <w:r w:rsidRPr="001437B7">
        <w:rPr>
          <w:rFonts w:ascii="TimesNewRomanPS-ItalicMT" w:eastAsia="HiraginoSans-W3" w:hAnsi="TimesNewRomanPS-ItalicMT" w:cs="TimesNewRomanPS-ItalicMT"/>
          <w:i/>
          <w:iCs/>
          <w:color w:val="000000"/>
          <w:kern w:val="1"/>
          <w:sz w:val="20"/>
          <w:szCs w:val="20"/>
          <w:lang w:val="bg-BG"/>
        </w:rPr>
        <w:t>-</w:t>
      </w:r>
      <w:r w:rsidRPr="001437B7">
        <w:rPr>
          <w:rFonts w:ascii="Times-Italic" w:eastAsia="HiraginoSans-W3" w:hAnsi="Times-Italic" w:cs="Times-Italic"/>
          <w:i/>
          <w:iCs/>
          <w:color w:val="000000"/>
          <w:kern w:val="1"/>
          <w:sz w:val="20"/>
          <w:szCs w:val="20"/>
          <w:lang w:val="bg-BG"/>
        </w:rPr>
        <w:t>формат</w:t>
      </w:r>
      <w:r w:rsidRPr="001437B7">
        <w:rPr>
          <w:rFonts w:ascii="TimesNewRomanPS-ItalicMT" w:eastAsia="HiraginoSans-W3" w:hAnsi="TimesNewRomanPS-ItalicMT" w:cs="TimesNewRomanPS-ItalicMT"/>
          <w:i/>
          <w:iCs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което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дава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допълнителни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възможности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студентите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организират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своята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учебна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усъвършенстват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изследовател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-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ските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умения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навлязат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дигиталната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хуманитаристика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.</w:t>
      </w:r>
    </w:p>
    <w:p w:rsidR="00347D82" w:rsidRPr="001437B7" w:rsidRDefault="00347D82" w:rsidP="00347D82">
      <w:pPr>
        <w:spacing w:before="6" w:line="232" w:lineRule="auto"/>
        <w:ind w:left="230" w:right="129" w:firstLine="340"/>
        <w:jc w:val="both"/>
        <w:textAlignment w:val="center"/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</w:pP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Обучението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изцяло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отворено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към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чуждес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-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транни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студенти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.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предлага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също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изучаване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втори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чужд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.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Курсовете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се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водят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преподаватели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катедра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„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Англицистика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американистика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“,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както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чуждестранни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гост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-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лектори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.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Магистър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-</w:t>
      </w:r>
      <w:r w:rsidRPr="001437B7">
        <w:rPr>
          <w:rFonts w:ascii="TimesNewRomanPSMT" w:eastAsia="HiraginoSans-W3" w:hAnsi="TimesNewRomanPSMT" w:cs="TimesNewRomanPSMT"/>
          <w:color w:val="000000"/>
          <w:spacing w:val="8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ска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степен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получава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след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успешна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защита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дипломна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работа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.</w:t>
      </w:r>
    </w:p>
    <w:p w:rsidR="00347D82" w:rsidRPr="001437B7" w:rsidRDefault="00347D82" w:rsidP="00347D82">
      <w:pPr>
        <w:spacing w:before="6" w:line="232" w:lineRule="auto"/>
        <w:ind w:left="230" w:right="131" w:firstLine="340"/>
        <w:jc w:val="both"/>
        <w:textAlignment w:val="center"/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</w:pP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Магистрантите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могат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участват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студентски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обмен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ЕРАЗЪМ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+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да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набавят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част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необходимите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кредити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от</w:t>
      </w:r>
      <w:r w:rsidRPr="001437B7">
        <w:rPr>
          <w:rFonts w:ascii="TimesNewRomanPSMT" w:eastAsia="HiraginoSans-W3" w:hAnsi="TimesNewRomanPSMT" w:cs="TimesNewRomanPSMT"/>
          <w:color w:val="000000"/>
          <w:spacing w:val="21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университети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други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страни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.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служи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солидна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основа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продъл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-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жение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обучението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докторската</w:t>
      </w:r>
      <w:r w:rsidRPr="001437B7">
        <w:rPr>
          <w:rFonts w:ascii="TimesNewRomanPSMT" w:eastAsia="HiraginoSans-W3" w:hAnsi="TimesNewRomanPSMT" w:cs="TimesNewRomanPSMT"/>
          <w:color w:val="000000"/>
          <w:spacing w:val="4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степен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.</w:t>
      </w:r>
    </w:p>
    <w:p w:rsidR="00347D82" w:rsidRPr="001437B7" w:rsidRDefault="00347D82" w:rsidP="00347D82">
      <w:pPr>
        <w:spacing w:before="3" w:line="232" w:lineRule="auto"/>
        <w:ind w:left="230" w:right="131" w:firstLine="340"/>
        <w:jc w:val="both"/>
        <w:textAlignment w:val="center"/>
        <w:rPr>
          <w:rFonts w:ascii="TimesNewRomanPSMT" w:eastAsia="HiraginoSans-W3" w:hAnsi="TimesNewRomanPSMT" w:cs="TimesNewRomanPSMT"/>
          <w:color w:val="000000"/>
          <w:spacing w:val="-2"/>
          <w:kern w:val="1"/>
          <w:sz w:val="20"/>
          <w:szCs w:val="20"/>
          <w:lang w:val="bg-BG"/>
        </w:rPr>
      </w:pP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Всички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кандидати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/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държавна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поръчка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платено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обуче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-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ние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/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явяват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интервю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.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Бакалаврите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-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нефилолози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представят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мотивационно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Bold" w:eastAsia="HiraginoSans-W3" w:hAnsi="Times-Bold" w:cs="Times-Bold"/>
          <w:b/>
          <w:bCs/>
          <w:color w:val="000000"/>
          <w:kern w:val="1"/>
          <w:sz w:val="20"/>
          <w:szCs w:val="20"/>
          <w:lang w:val="bg-BG"/>
        </w:rPr>
        <w:t>писмо</w:t>
      </w:r>
      <w:r w:rsidRPr="001437B7">
        <w:rPr>
          <w:rFonts w:ascii="TimesNewRomanPS-BoldMT" w:eastAsia="HiraginoSans-W3" w:hAnsi="TimesNewRomanPS-BoldMT" w:cs="TimesNewRomanPS-BoldMT"/>
          <w:b/>
          <w:bCs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(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около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2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стр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.)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мотивите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избора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предпочитанията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.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Критери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-</w:t>
      </w:r>
      <w:r w:rsidRPr="001437B7">
        <w:rPr>
          <w:rFonts w:ascii="TimesNewRomanPSMT" w:eastAsia="HiraginoSans-W3" w:hAnsi="TimesNewRomanPSMT" w:cs="TimesNewRomanPSMT"/>
          <w:color w:val="000000"/>
          <w:spacing w:val="8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ите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въз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основа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които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прави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подборът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кандидати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,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включват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: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равнище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владеене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английски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език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култура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комуникативно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поведение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;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обща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лингвистично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>-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културологична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осведоменост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доколко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интересът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към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програмата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обвързан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с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нуждите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кандидата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за</w:t>
      </w:r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про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kern w:val="1"/>
          <w:sz w:val="20"/>
          <w:szCs w:val="20"/>
          <w:lang w:val="bg-BG"/>
        </w:rPr>
        <w:t xml:space="preserve">- </w:t>
      </w:r>
      <w:proofErr w:type="spellStart"/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фесионалната</w:t>
      </w:r>
      <w:proofErr w:type="spellEnd"/>
      <w:r w:rsidRPr="001437B7">
        <w:rPr>
          <w:rFonts w:ascii="TimesNewRomanPSMT" w:eastAsia="HiraginoSans-W3" w:hAnsi="TimesNewRomanPSMT" w:cs="TimesNewRomanPSMT"/>
          <w:color w:val="000000"/>
          <w:spacing w:val="14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му</w:t>
      </w:r>
      <w:r w:rsidRPr="001437B7">
        <w:rPr>
          <w:rFonts w:ascii="TimesNewRomanPSMT" w:eastAsia="HiraginoSans-W3" w:hAnsi="TimesNewRomanPSMT" w:cs="TimesNewRomanPSMT"/>
          <w:color w:val="000000"/>
          <w:spacing w:val="14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реализация</w:t>
      </w:r>
      <w:r w:rsidRPr="001437B7">
        <w:rPr>
          <w:rFonts w:ascii="TimesNewRomanPSMT" w:eastAsia="HiraginoSans-W3" w:hAnsi="TimesNewRomanPSMT" w:cs="TimesNewRomanPSMT"/>
          <w:color w:val="000000"/>
          <w:spacing w:val="14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или</w:t>
      </w:r>
      <w:r w:rsidRPr="001437B7">
        <w:rPr>
          <w:rFonts w:ascii="TimesNewRomanPSMT" w:eastAsia="HiraginoSans-W3" w:hAnsi="TimesNewRomanPSMT" w:cs="TimesNewRomanPSMT"/>
          <w:color w:val="000000"/>
          <w:spacing w:val="14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научноизследователското</w:t>
      </w:r>
      <w:r w:rsidRPr="001437B7">
        <w:rPr>
          <w:rFonts w:ascii="TimesNewRomanPSMT" w:eastAsia="HiraginoSans-W3" w:hAnsi="TimesNewRomanPSMT" w:cs="TimesNewRomanPSMT"/>
          <w:color w:val="000000"/>
          <w:spacing w:val="14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kern w:val="1"/>
          <w:sz w:val="20"/>
          <w:szCs w:val="20"/>
          <w:lang w:val="bg-BG"/>
        </w:rPr>
        <w:t>му</w:t>
      </w:r>
      <w:r w:rsidRPr="001437B7">
        <w:rPr>
          <w:rFonts w:ascii="TimesNewRomanPSMT" w:eastAsia="HiraginoSans-W3" w:hAnsi="TimesNewRomanPSMT" w:cs="TimesNewRomanPSMT"/>
          <w:color w:val="000000"/>
          <w:spacing w:val="15"/>
          <w:kern w:val="1"/>
          <w:sz w:val="20"/>
          <w:szCs w:val="20"/>
          <w:lang w:val="bg-BG"/>
        </w:rPr>
        <w:t xml:space="preserve"> </w:t>
      </w:r>
      <w:r w:rsidRPr="001437B7">
        <w:rPr>
          <w:rFonts w:ascii="Times-Roman Cyr" w:eastAsia="HiraginoSans-W3" w:hAnsi="Times-Roman Cyr" w:cs="Times-Roman Cyr"/>
          <w:color w:val="000000"/>
          <w:spacing w:val="-2"/>
          <w:kern w:val="1"/>
          <w:sz w:val="20"/>
          <w:szCs w:val="20"/>
          <w:lang w:val="bg-BG"/>
        </w:rPr>
        <w:t>развитие</w:t>
      </w:r>
      <w:r w:rsidRPr="001437B7">
        <w:rPr>
          <w:rFonts w:ascii="TimesNewRomanPSMT" w:eastAsia="HiraginoSans-W3" w:hAnsi="TimesNewRomanPSMT" w:cs="TimesNewRomanPSMT"/>
          <w:color w:val="000000"/>
          <w:spacing w:val="-2"/>
          <w:kern w:val="1"/>
          <w:sz w:val="20"/>
          <w:szCs w:val="20"/>
          <w:lang w:val="bg-BG"/>
        </w:rPr>
        <w:t>.</w:t>
      </w:r>
    </w:p>
    <w:p w:rsidR="001F04B4" w:rsidRDefault="001F04B4">
      <w:bookmarkStart w:id="0" w:name="_GoBack"/>
      <w:bookmarkEnd w:id="0"/>
    </w:p>
    <w:sectPr w:rsidR="001F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raginoSans-W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hybridMultilevel"/>
    <w:tmpl w:val="FFFFFFFF"/>
    <w:lvl w:ilvl="0" w:tplc="00000A29">
      <w:numFmt w:val="bullet"/>
      <w:lvlText w:val="•"/>
      <w:lvlJc w:val="left"/>
      <w:pPr>
        <w:ind w:left="720" w:hanging="360"/>
      </w:pPr>
    </w:lvl>
    <w:lvl w:ilvl="1" w:tplc="00000A2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82"/>
    <w:rsid w:val="001F04B4"/>
    <w:rsid w:val="003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4E96-148E-4A95-9F71-0F9B310D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47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a.language.and.cul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bagasheva@uni-sofia.bg" TargetMode="External"/><Relationship Id="rId5" Type="http://schemas.openxmlformats.org/officeDocument/2006/relationships/hyperlink" Target="mailto:kdslavova@uni-sofia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2023-07-24T14:08:00Z</dcterms:created>
  <dcterms:modified xsi:type="dcterms:W3CDTF">2023-07-24T14:08:00Z</dcterms:modified>
</cp:coreProperties>
</file>