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93" w:rsidRDefault="00AA3E93" w:rsidP="001251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СТАНОВИЩЕ</w:t>
      </w:r>
    </w:p>
    <w:p w:rsidR="00AA3E93" w:rsidRDefault="00AA3E93" w:rsidP="00E86E02">
      <w:pPr>
        <w:pStyle w:val="Default"/>
        <w:jc w:val="both"/>
        <w:rPr>
          <w:sz w:val="23"/>
          <w:szCs w:val="23"/>
        </w:rPr>
      </w:pPr>
      <w:proofErr w:type="gramStart"/>
      <w:r>
        <w:t>по</w:t>
      </w:r>
      <w:proofErr w:type="gramEnd"/>
      <w:r>
        <w:t xml:space="preserve"> конкурс за заемане на академичната длъжност „професор“</w:t>
      </w:r>
      <w:r>
        <w:rPr>
          <w:lang w:val="bg-BG"/>
        </w:rPr>
        <w:t xml:space="preserve"> </w:t>
      </w:r>
      <w:r>
        <w:t>по професионално направление</w:t>
      </w:r>
      <w:r>
        <w:rPr>
          <w:lang w:val="bg-BG"/>
        </w:rPr>
        <w:t xml:space="preserve"> </w:t>
      </w:r>
      <w:r>
        <w:t xml:space="preserve"> </w:t>
      </w:r>
      <w:r>
        <w:rPr>
          <w:sz w:val="23"/>
          <w:szCs w:val="23"/>
        </w:rPr>
        <w:t>2.1 Филология (Когнитивна лингвистика – анализ на текст и ди</w:t>
      </w:r>
      <w:r w:rsidR="004B5C56">
        <w:rPr>
          <w:sz w:val="23"/>
          <w:szCs w:val="23"/>
        </w:rPr>
        <w:t>скурс (на английски език))</w:t>
      </w:r>
    </w:p>
    <w:p w:rsidR="00AA3E93" w:rsidRDefault="00AA3E93" w:rsidP="00E86E02">
      <w:pPr>
        <w:pStyle w:val="Default"/>
        <w:jc w:val="both"/>
        <w:rPr>
          <w:sz w:val="23"/>
          <w:szCs w:val="23"/>
        </w:rPr>
      </w:pPr>
    </w:p>
    <w:p w:rsidR="00AA3E93" w:rsidRPr="00AA3E93" w:rsidRDefault="00AA3E93" w:rsidP="00E86E02">
      <w:pPr>
        <w:pStyle w:val="Default"/>
        <w:jc w:val="both"/>
        <w:rPr>
          <w:lang w:val="bg-BG"/>
        </w:rPr>
      </w:pPr>
      <w:r>
        <w:t>Кандидат:</w:t>
      </w:r>
      <w:r>
        <w:rPr>
          <w:lang w:val="bg-BG"/>
        </w:rPr>
        <w:t xml:space="preserve"> </w:t>
      </w:r>
      <w:r w:rsidR="00285253">
        <w:rPr>
          <w:lang w:val="bg-BG"/>
        </w:rPr>
        <w:t xml:space="preserve">доц. дфн </w:t>
      </w:r>
      <w:r w:rsidRPr="008128F2">
        <w:rPr>
          <w:lang w:val="bg-BG"/>
        </w:rPr>
        <w:t>Нели Тодорова Тинчева</w:t>
      </w:r>
      <w:r>
        <w:rPr>
          <w:lang w:val="bg-BG"/>
        </w:rPr>
        <w:t xml:space="preserve">-Георгиева, </w:t>
      </w:r>
      <w:r w:rsidRPr="00AA3E93">
        <w:rPr>
          <w:bCs/>
          <w:lang w:val="bg-BG"/>
        </w:rPr>
        <w:t>катедра „Англицистика и американистика“, ФКНФ, СУ „Св. Климент Охридски“, София</w:t>
      </w:r>
    </w:p>
    <w:p w:rsidR="00AA3E93" w:rsidRDefault="00AA3E93" w:rsidP="00E86E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09C3" w:rsidRDefault="00AA3E93" w:rsidP="00E86E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Член на Научно жури: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AA3E93">
        <w:rPr>
          <w:rFonts w:ascii="Times New Roman" w:hAnsi="Times New Roman" w:cs="Times New Roman"/>
          <w:bCs/>
          <w:sz w:val="24"/>
          <w:szCs w:val="24"/>
          <w:lang w:val="bg-BG"/>
        </w:rPr>
        <w:t>доц. д-р Росица Филипова Ишпекова, катедра „Англицистика и американистика“, ФКНФ, СУ „Св. Климент Охридски“, София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AA3E93" w:rsidRPr="00983B72" w:rsidRDefault="00AA3E93" w:rsidP="00E86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B72">
        <w:rPr>
          <w:rFonts w:ascii="Times New Roman" w:hAnsi="Times New Roman" w:cs="Times New Roman"/>
          <w:b/>
          <w:bCs/>
          <w:sz w:val="24"/>
          <w:szCs w:val="24"/>
        </w:rPr>
        <w:t>Общи бележки</w:t>
      </w:r>
    </w:p>
    <w:p w:rsidR="00983B72" w:rsidRPr="00983B72" w:rsidRDefault="00983B72" w:rsidP="00E86E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B72">
        <w:rPr>
          <w:rFonts w:ascii="Times New Roman" w:hAnsi="Times New Roman" w:cs="Times New Roman"/>
          <w:sz w:val="24"/>
          <w:szCs w:val="24"/>
        </w:rPr>
        <w:t xml:space="preserve">Настоящото становище </w:t>
      </w:r>
      <w:r>
        <w:rPr>
          <w:rFonts w:ascii="Times New Roman" w:hAnsi="Times New Roman" w:cs="Times New Roman"/>
          <w:sz w:val="24"/>
          <w:szCs w:val="24"/>
        </w:rPr>
        <w:t xml:space="preserve">ми е </w:t>
      </w:r>
      <w:r w:rsidR="00B932C6">
        <w:rPr>
          <w:rFonts w:ascii="Times New Roman" w:hAnsi="Times New Roman" w:cs="Times New Roman"/>
          <w:sz w:val="24"/>
          <w:szCs w:val="24"/>
        </w:rPr>
        <w:t xml:space="preserve">възложено на 30 май 2023г. </w:t>
      </w:r>
      <w:proofErr w:type="gramStart"/>
      <w:r w:rsidRPr="00983B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3B72">
        <w:rPr>
          <w:rFonts w:ascii="Times New Roman" w:hAnsi="Times New Roman" w:cs="Times New Roman"/>
          <w:sz w:val="24"/>
          <w:szCs w:val="24"/>
        </w:rPr>
        <w:t xml:space="preserve"> заседаниe на Научно жури,</w:t>
      </w:r>
    </w:p>
    <w:p w:rsidR="00983B72" w:rsidRDefault="00983B72" w:rsidP="00E86E02">
      <w:pPr>
        <w:pStyle w:val="Default"/>
        <w:jc w:val="both"/>
        <w:rPr>
          <w:sz w:val="23"/>
          <w:szCs w:val="23"/>
        </w:rPr>
      </w:pPr>
      <w:proofErr w:type="gramStart"/>
      <w:r w:rsidRPr="00983B72">
        <w:t>назначено</w:t>
      </w:r>
      <w:proofErr w:type="gramEnd"/>
      <w:r w:rsidRPr="00983B72">
        <w:t xml:space="preserve"> съ</w:t>
      </w:r>
      <w:r>
        <w:t xml:space="preserve">с заповед № </w:t>
      </w:r>
      <w:r>
        <w:rPr>
          <w:lang w:val="bg-BG"/>
        </w:rPr>
        <w:t xml:space="preserve">РД - 38-172 от 20.04.2023г. </w:t>
      </w:r>
      <w:proofErr w:type="gramStart"/>
      <w:r w:rsidRPr="00983B72">
        <w:t>на</w:t>
      </w:r>
      <w:proofErr w:type="gramEnd"/>
      <w:r w:rsidRPr="00983B72">
        <w:t xml:space="preserve"> Ректора на </w:t>
      </w:r>
      <w:r w:rsidRPr="00983B72">
        <w:rPr>
          <w:lang w:val="bg-BG"/>
        </w:rPr>
        <w:t xml:space="preserve">СУ „Св. Климент Охридски“ </w:t>
      </w:r>
      <w:r w:rsidRPr="00983B72">
        <w:t xml:space="preserve">проф. </w:t>
      </w:r>
      <w:r w:rsidRPr="00983B72">
        <w:rPr>
          <w:lang w:val="bg-BG"/>
        </w:rPr>
        <w:t>д</w:t>
      </w:r>
      <w:r w:rsidRPr="00983B72">
        <w:t xml:space="preserve">фн </w:t>
      </w:r>
      <w:r w:rsidRPr="00983B72">
        <w:rPr>
          <w:lang w:val="bg-BG"/>
        </w:rPr>
        <w:t>Анастас Герджиков</w:t>
      </w:r>
      <w:r w:rsidRPr="00983B72">
        <w:t xml:space="preserve">. Изготвено е в съответствие с изискванията на </w:t>
      </w:r>
      <w:r w:rsidRPr="001C1028">
        <w:rPr>
          <w:rFonts w:eastAsia="Times New Roman,Italic"/>
          <w:iCs/>
        </w:rPr>
        <w:t>Закона за</w:t>
      </w:r>
      <w:r w:rsidRPr="001C1028">
        <w:rPr>
          <w:rFonts w:eastAsia="Times New Roman,Italic"/>
          <w:iCs/>
          <w:lang w:val="bg-BG"/>
        </w:rPr>
        <w:t xml:space="preserve"> </w:t>
      </w:r>
      <w:r w:rsidRPr="001C1028">
        <w:rPr>
          <w:rFonts w:eastAsia="Times New Roman,Italic"/>
          <w:iCs/>
        </w:rPr>
        <w:t xml:space="preserve">развитието на академичния състав в Република България </w:t>
      </w:r>
      <w:r w:rsidRPr="001C1028">
        <w:t xml:space="preserve">и </w:t>
      </w:r>
      <w:r w:rsidRPr="001C1028">
        <w:rPr>
          <w:rFonts w:eastAsia="Times New Roman,Italic"/>
          <w:iCs/>
        </w:rPr>
        <w:t>Правилника за неговото</w:t>
      </w:r>
      <w:r w:rsidRPr="001C1028">
        <w:rPr>
          <w:lang w:val="bg-BG"/>
        </w:rPr>
        <w:t xml:space="preserve"> </w:t>
      </w:r>
      <w:r w:rsidRPr="001C1028">
        <w:rPr>
          <w:rFonts w:eastAsia="Times New Roman,Italic"/>
          <w:iCs/>
        </w:rPr>
        <w:t>прилагане</w:t>
      </w:r>
      <w:r>
        <w:t xml:space="preserve">, </w:t>
      </w:r>
      <w:r>
        <w:rPr>
          <w:lang w:val="bg-BG"/>
        </w:rPr>
        <w:t xml:space="preserve">а също така и с </w:t>
      </w:r>
      <w:r>
        <w:rPr>
          <w:sz w:val="23"/>
          <w:szCs w:val="23"/>
        </w:rPr>
        <w:t>Правилника за условията и реда за придобиване на научни степени и заемане на академични длъжности в СУ „Св. Климент Охридски” и решение на Факултетния съвет на Факултета по класически и нови филологии, протокол № 8 от 11.04.2023 г.</w:t>
      </w:r>
    </w:p>
    <w:p w:rsidR="009D315A" w:rsidRDefault="009D315A" w:rsidP="00E86E02">
      <w:pPr>
        <w:pStyle w:val="Default"/>
        <w:jc w:val="both"/>
      </w:pPr>
    </w:p>
    <w:p w:rsidR="003654BC" w:rsidRDefault="003654BC" w:rsidP="00E86E02">
      <w:pPr>
        <w:pStyle w:val="Default"/>
        <w:jc w:val="both"/>
      </w:pPr>
      <w:r>
        <w:t>Конкурсът за професор по професионално направл</w:t>
      </w:r>
      <w:r w:rsidR="007E42B8">
        <w:t xml:space="preserve">ение </w:t>
      </w:r>
      <w:r w:rsidR="007E42B8" w:rsidRPr="007E42B8">
        <w:t>2.1 Филология (Когнитивна лингвистика – анализ на текст и дискурс (на английски език))</w:t>
      </w:r>
      <w:r w:rsidR="007E42B8">
        <w:rPr>
          <w:lang w:val="bg-BG"/>
        </w:rPr>
        <w:t xml:space="preserve"> е обявен </w:t>
      </w:r>
      <w:r w:rsidR="007E42B8">
        <w:rPr>
          <w:sz w:val="23"/>
          <w:szCs w:val="23"/>
        </w:rPr>
        <w:t>в ДВ, бр. 24 от 17.03.2023 г.</w:t>
      </w:r>
      <w:r w:rsidR="007E42B8">
        <w:rPr>
          <w:sz w:val="23"/>
          <w:szCs w:val="23"/>
          <w:lang w:val="bg-BG"/>
        </w:rPr>
        <w:t xml:space="preserve"> </w:t>
      </w:r>
      <w:r>
        <w:t>В съответния срок молба за участие е подала ед</w:t>
      </w:r>
      <w:r w:rsidR="007E42B8">
        <w:t xml:space="preserve">инствен кандидат </w:t>
      </w:r>
      <w:r w:rsidR="007E42B8" w:rsidRPr="008128F2">
        <w:rPr>
          <w:lang w:val="bg-BG"/>
        </w:rPr>
        <w:t>доц. д-р Нели Тодорова Тинчева</w:t>
      </w:r>
      <w:r w:rsidR="007E42B8">
        <w:rPr>
          <w:lang w:val="bg-BG"/>
        </w:rPr>
        <w:t>-Георгиева</w:t>
      </w:r>
      <w:r>
        <w:t>, която е допуснат</w:t>
      </w:r>
      <w:r w:rsidR="00A8521E">
        <w:rPr>
          <w:lang w:val="bg-BG"/>
        </w:rPr>
        <w:t>а</w:t>
      </w:r>
      <w:r>
        <w:t xml:space="preserve"> за участие в конкурса. Тя е представила за</w:t>
      </w:r>
      <w:r w:rsidR="007E42B8">
        <w:rPr>
          <w:lang w:val="bg-BG"/>
        </w:rPr>
        <w:t xml:space="preserve"> </w:t>
      </w:r>
      <w:r>
        <w:t>участието си 1 монография,</w:t>
      </w:r>
      <w:r w:rsidR="00B64E7D">
        <w:t xml:space="preserve"> 22 публикации, 3 учебника и учебни помагала</w:t>
      </w:r>
      <w:r>
        <w:t>. Всички те не са били включвани преди това по конкурса ѝ за доцент или</w:t>
      </w:r>
      <w:r w:rsidR="007E42B8">
        <w:rPr>
          <w:lang w:val="bg-BG"/>
        </w:rPr>
        <w:t xml:space="preserve"> </w:t>
      </w:r>
      <w:r>
        <w:t>образователната и научна степен „доктор“. Кандидатът е предоставила и останалите</w:t>
      </w:r>
      <w:r w:rsidR="007E42B8">
        <w:rPr>
          <w:lang w:val="bg-BG"/>
        </w:rPr>
        <w:t xml:space="preserve"> </w:t>
      </w:r>
      <w:r>
        <w:t xml:space="preserve">изискуеми материали и документи, които отговарят на изискванита на </w:t>
      </w:r>
      <w:r w:rsidRPr="00B64E7D">
        <w:rPr>
          <w:rFonts w:eastAsia="Times New Roman,Italic"/>
          <w:iCs/>
        </w:rPr>
        <w:t>Закона за</w:t>
      </w:r>
      <w:r w:rsidR="007E42B8" w:rsidRPr="00B64E7D">
        <w:rPr>
          <w:rFonts w:eastAsia="Times New Roman,Italic"/>
          <w:iCs/>
          <w:lang w:val="bg-BG"/>
        </w:rPr>
        <w:t xml:space="preserve"> </w:t>
      </w:r>
      <w:r w:rsidRPr="00B64E7D">
        <w:rPr>
          <w:rFonts w:eastAsia="Times New Roman,Italic"/>
          <w:iCs/>
        </w:rPr>
        <w:t xml:space="preserve">развитието на академичния състав в Република България </w:t>
      </w:r>
      <w:r w:rsidRPr="00B64E7D">
        <w:t xml:space="preserve">и </w:t>
      </w:r>
      <w:r w:rsidRPr="00B64E7D">
        <w:rPr>
          <w:rFonts w:eastAsia="Times New Roman,Italic"/>
          <w:iCs/>
        </w:rPr>
        <w:t>Правилника за неговото</w:t>
      </w:r>
      <w:r w:rsidR="00B64E7D" w:rsidRPr="00B64E7D">
        <w:rPr>
          <w:sz w:val="23"/>
          <w:szCs w:val="23"/>
          <w:lang w:val="bg-BG"/>
        </w:rPr>
        <w:t xml:space="preserve"> </w:t>
      </w:r>
      <w:r w:rsidRPr="00B64E7D">
        <w:rPr>
          <w:rFonts w:eastAsia="Times New Roman,Italic"/>
          <w:iCs/>
        </w:rPr>
        <w:t>прилагане</w:t>
      </w:r>
      <w:r w:rsidR="008E6BD4">
        <w:t>, а така също и на</w:t>
      </w:r>
      <w:r w:rsidR="00E33A4A" w:rsidRPr="00B64E7D">
        <w:t xml:space="preserve"> </w:t>
      </w:r>
      <w:r w:rsidRPr="00B64E7D">
        <w:rPr>
          <w:rFonts w:eastAsia="Times New Roman,Italic"/>
          <w:iCs/>
        </w:rPr>
        <w:t>Правилника за условията и реда за придобиване на научни</w:t>
      </w:r>
      <w:r w:rsidR="00B64E7D" w:rsidRPr="00B64E7D">
        <w:rPr>
          <w:sz w:val="23"/>
          <w:szCs w:val="23"/>
          <w:lang w:val="bg-BG"/>
        </w:rPr>
        <w:t xml:space="preserve"> </w:t>
      </w:r>
      <w:r w:rsidRPr="00B64E7D">
        <w:rPr>
          <w:rFonts w:eastAsia="Times New Roman,Italic"/>
          <w:iCs/>
        </w:rPr>
        <w:t>степени и заемане на академични д</w:t>
      </w:r>
      <w:r w:rsidR="007E42B8" w:rsidRPr="00B64E7D">
        <w:rPr>
          <w:rFonts w:eastAsia="Times New Roman,Italic"/>
          <w:iCs/>
        </w:rPr>
        <w:t xml:space="preserve">лъжности в </w:t>
      </w:r>
      <w:r w:rsidR="007E42B8" w:rsidRPr="00B64E7D">
        <w:rPr>
          <w:rFonts w:eastAsia="Times New Roman,Italic"/>
          <w:iCs/>
          <w:lang w:val="bg-BG"/>
        </w:rPr>
        <w:t>СУ „Св. Климент Охридски“</w:t>
      </w:r>
      <w:r w:rsidRPr="00B64E7D">
        <w:t>.</w:t>
      </w:r>
    </w:p>
    <w:p w:rsidR="009D315A" w:rsidRDefault="009D315A" w:rsidP="00E86E02">
      <w:pPr>
        <w:pStyle w:val="Default"/>
        <w:ind w:left="48"/>
        <w:jc w:val="both"/>
        <w:rPr>
          <w:bCs/>
          <w:lang w:val="bg-BG"/>
        </w:rPr>
      </w:pPr>
    </w:p>
    <w:p w:rsidR="009D315A" w:rsidRPr="00D265AF" w:rsidRDefault="009D315A" w:rsidP="00E86E02">
      <w:pPr>
        <w:pStyle w:val="Default"/>
        <w:ind w:left="48"/>
        <w:jc w:val="both"/>
        <w:rPr>
          <w:bCs/>
        </w:rPr>
      </w:pPr>
      <w:r>
        <w:rPr>
          <w:bCs/>
          <w:lang w:val="bg-BG"/>
        </w:rPr>
        <w:t>Нели Тодорова Тинчева е приета да следва специалност „Английска филология“</w:t>
      </w:r>
      <w:r>
        <w:rPr>
          <w:bCs/>
        </w:rPr>
        <w:t xml:space="preserve"> </w:t>
      </w:r>
      <w:r>
        <w:rPr>
          <w:bCs/>
          <w:lang w:val="bg-BG"/>
        </w:rPr>
        <w:t xml:space="preserve">през 1990г., която успешно завършва през 1995 г. с преводаческа специализация и защитена дипломна работа на тема </w:t>
      </w:r>
      <w:r>
        <w:rPr>
          <w:bCs/>
        </w:rPr>
        <w:t>“Gender, speech and cultural myths” (</w:t>
      </w:r>
      <w:r>
        <w:rPr>
          <w:bCs/>
          <w:lang w:val="bg-BG"/>
        </w:rPr>
        <w:t xml:space="preserve">„Женска реч и културни митове“). По време на следването си е работила като преводач (устен, консекутив, писмен превод) към фирма „Тинформ“ (1992-1994 г.). През периода юли 1994 г. – март 1995 г. е била помощник-режисьор към </w:t>
      </w:r>
      <w:r>
        <w:rPr>
          <w:bCs/>
        </w:rPr>
        <w:t xml:space="preserve">“Sneak Preview Entertainment”.  </w:t>
      </w:r>
    </w:p>
    <w:p w:rsidR="009D315A" w:rsidRDefault="009D315A" w:rsidP="00E86E02">
      <w:pPr>
        <w:pStyle w:val="Default"/>
        <w:ind w:left="408"/>
        <w:jc w:val="both"/>
        <w:rPr>
          <w:bCs/>
          <w:lang w:val="bg-BG"/>
        </w:rPr>
      </w:pPr>
    </w:p>
    <w:p w:rsidR="009D315A" w:rsidRPr="009C5044" w:rsidRDefault="00285253" w:rsidP="00E86E02">
      <w:pPr>
        <w:pStyle w:val="Default"/>
        <w:jc w:val="both"/>
        <w:rPr>
          <w:bCs/>
          <w:lang w:val="bg-BG"/>
        </w:rPr>
      </w:pPr>
      <w:r>
        <w:rPr>
          <w:bCs/>
          <w:lang w:val="bg-BG"/>
        </w:rPr>
        <w:t>Доц. дфн</w:t>
      </w:r>
      <w:r w:rsidR="009D315A">
        <w:rPr>
          <w:bCs/>
          <w:lang w:val="bg-BG"/>
        </w:rPr>
        <w:t xml:space="preserve"> Нели Тинчева-Георгиева </w:t>
      </w:r>
      <w:r w:rsidR="009D315A" w:rsidRPr="008128F2">
        <w:rPr>
          <w:bCs/>
          <w:lang w:val="bg-BG"/>
        </w:rPr>
        <w:t>е доказан специалист и уважаван колега в катедра „Англицистика и американистика“ към ФКНФ, СУ „Св. Кл. Охридски“. Постъпва на щат към катедрата през 1995г., като е била асистент до 1999 г., след което е повишена в длъжността старши асистент, която заема до 2005 г. В периода 2005 – 2015 г. е главен асистент, а от 2015 г. досега е доцент по текст</w:t>
      </w:r>
      <w:r w:rsidR="009D315A">
        <w:rPr>
          <w:bCs/>
          <w:lang w:val="bg-BG"/>
        </w:rPr>
        <w:t>ова</w:t>
      </w:r>
      <w:r w:rsidR="009D315A" w:rsidRPr="008128F2">
        <w:rPr>
          <w:bCs/>
          <w:lang w:val="bg-BG"/>
        </w:rPr>
        <w:t xml:space="preserve"> лингвистика и анализ на дискурса. През </w:t>
      </w:r>
      <w:r w:rsidR="009D315A" w:rsidRPr="008128F2">
        <w:rPr>
          <w:bCs/>
          <w:lang w:val="bg-BG"/>
        </w:rPr>
        <w:lastRenderedPageBreak/>
        <w:t xml:space="preserve">март 2006г. придобива ОНС „доктор“ след успешно защитена дисертация на тема </w:t>
      </w:r>
      <w:r w:rsidR="009D315A" w:rsidRPr="008128F2">
        <w:rPr>
          <w:bCs/>
        </w:rPr>
        <w:t>“</w:t>
      </w:r>
      <w:r w:rsidR="009D315A">
        <w:rPr>
          <w:bCs/>
        </w:rPr>
        <w:t xml:space="preserve">The SOURCE-PATH-GOAL </w:t>
      </w:r>
      <w:r w:rsidR="009D315A" w:rsidRPr="008128F2">
        <w:rPr>
          <w:bCs/>
        </w:rPr>
        <w:t>image schema in political speeches” (“</w:t>
      </w:r>
      <w:r w:rsidR="009D315A">
        <w:rPr>
          <w:bCs/>
          <w:lang w:val="bg-BG"/>
        </w:rPr>
        <w:t xml:space="preserve">Менталната схема НАЧАЛО-ПЪТ-ЦЕЛ </w:t>
      </w:r>
      <w:r w:rsidR="009D315A" w:rsidRPr="008128F2">
        <w:rPr>
          <w:bCs/>
          <w:lang w:val="bg-BG"/>
        </w:rPr>
        <w:t>в политическите речи“</w:t>
      </w:r>
      <w:r w:rsidR="003D491B">
        <w:rPr>
          <w:bCs/>
          <w:lang w:val="bg-BG"/>
        </w:rPr>
        <w:t>)</w:t>
      </w:r>
      <w:r w:rsidR="009D315A" w:rsidRPr="008128F2">
        <w:rPr>
          <w:bCs/>
          <w:lang w:val="bg-BG"/>
        </w:rPr>
        <w:t>. Научна специалност „Германски езици“, шифър 05.04.20.</w:t>
      </w:r>
      <w:r w:rsidR="009C5044">
        <w:rPr>
          <w:bCs/>
        </w:rPr>
        <w:t xml:space="preserve"> </w:t>
      </w:r>
      <w:r w:rsidR="009C5044">
        <w:rPr>
          <w:bCs/>
          <w:lang w:val="bg-BG"/>
        </w:rPr>
        <w:t xml:space="preserve">През юни 2023г. успешно защитава дисертация за придобиване на научната степен „доктор на науките“ на тема </w:t>
      </w:r>
      <w:r w:rsidR="009C5044" w:rsidRPr="009C5044">
        <w:t>„Многопроцесен когнитивен модел за изследване на текст и дискурс“</w:t>
      </w:r>
      <w:r w:rsidR="009C5044" w:rsidRPr="009C5044">
        <w:rPr>
          <w:lang w:val="bg-BG"/>
        </w:rPr>
        <w:t>.</w:t>
      </w:r>
    </w:p>
    <w:p w:rsidR="009D315A" w:rsidRDefault="009D315A" w:rsidP="00E86E02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9D315A">
        <w:rPr>
          <w:b/>
          <w:bCs/>
        </w:rPr>
        <w:t>Преподавателска дейност на кандидата</w:t>
      </w:r>
    </w:p>
    <w:p w:rsidR="009D315A" w:rsidRDefault="003622E3" w:rsidP="00E86E02">
      <w:pPr>
        <w:pStyle w:val="Default"/>
        <w:jc w:val="both"/>
      </w:pPr>
      <w:r>
        <w:rPr>
          <w:bCs/>
          <w:lang w:val="bg-BG"/>
        </w:rPr>
        <w:t>Доц. дфн</w:t>
      </w:r>
      <w:r w:rsidR="009D315A">
        <w:rPr>
          <w:bCs/>
          <w:lang w:val="bg-BG"/>
        </w:rPr>
        <w:t xml:space="preserve"> Нели Тинчева-Георгиева </w:t>
      </w:r>
      <w:r w:rsidR="009D315A" w:rsidRPr="009D315A">
        <w:t>води лекции в ОКС Бака</w:t>
      </w:r>
      <w:r w:rsidR="009D315A">
        <w:t>лавър</w:t>
      </w:r>
      <w:r w:rsidR="00B908A9">
        <w:t xml:space="preserve"> </w:t>
      </w:r>
      <w:r w:rsidR="00B908A9">
        <w:rPr>
          <w:lang w:val="bg-BG"/>
        </w:rPr>
        <w:t>на катедра Англицистика и американистика“ по</w:t>
      </w:r>
      <w:r w:rsidR="009D315A">
        <w:t xml:space="preserve">: </w:t>
      </w:r>
      <w:r w:rsidR="009D315A">
        <w:rPr>
          <w:lang w:val="bg-BG"/>
        </w:rPr>
        <w:t>Лингвистика на текста</w:t>
      </w:r>
      <w:r w:rsidR="005E5A25">
        <w:rPr>
          <w:lang w:val="bg-BG"/>
        </w:rPr>
        <w:t>, Аналитична граматика, Практическа граматика, Аналитични подходи към текста</w:t>
      </w:r>
      <w:r w:rsidR="007B5B3D">
        <w:rPr>
          <w:lang w:val="bg-BG"/>
        </w:rPr>
        <w:t xml:space="preserve"> и И</w:t>
      </w:r>
      <w:r w:rsidR="004C75AB">
        <w:rPr>
          <w:lang w:val="bg-BG"/>
        </w:rPr>
        <w:t>зследователски методи</w:t>
      </w:r>
      <w:r w:rsidR="009D315A" w:rsidRPr="009D315A">
        <w:t>; в ОКС Магистър:</w:t>
      </w:r>
      <w:r w:rsidR="005E5A25">
        <w:t xml:space="preserve"> </w:t>
      </w:r>
      <w:r w:rsidR="005E5A25">
        <w:rPr>
          <w:lang w:val="bg-BG"/>
        </w:rPr>
        <w:t>АЕ за академични цели и Анализ на дискурса</w:t>
      </w:r>
      <w:r w:rsidR="007B5B3D">
        <w:t xml:space="preserve">. </w:t>
      </w:r>
      <w:r w:rsidR="007B5B3D">
        <w:rPr>
          <w:lang w:val="bg-BG"/>
        </w:rPr>
        <w:t>Н</w:t>
      </w:r>
      <w:r w:rsidR="009D315A" w:rsidRPr="009D315A">
        <w:t xml:space="preserve">аучен ръководител </w:t>
      </w:r>
      <w:r w:rsidR="007B5B3D">
        <w:rPr>
          <w:lang w:val="bg-BG"/>
        </w:rPr>
        <w:t xml:space="preserve">е </w:t>
      </w:r>
      <w:r w:rsidR="009D315A" w:rsidRPr="009D315A">
        <w:t>на един редовен докторант. Това е значителен по</w:t>
      </w:r>
      <w:r w:rsidR="009D315A">
        <w:rPr>
          <w:lang w:val="bg-BG"/>
        </w:rPr>
        <w:t xml:space="preserve"> </w:t>
      </w:r>
      <w:r w:rsidR="009D315A" w:rsidRPr="009D315A">
        <w:t>обем преподавателска дейност, която безспорно ангажира голяма част от времето на</w:t>
      </w:r>
      <w:r w:rsidR="009D315A">
        <w:rPr>
          <w:lang w:val="bg-BG"/>
        </w:rPr>
        <w:t xml:space="preserve"> </w:t>
      </w:r>
      <w:r w:rsidR="009D315A" w:rsidRPr="009D315A">
        <w:t>кандидата. Рецензентът има лични впечатления от нейните преподавателските умения и</w:t>
      </w:r>
      <w:r w:rsidR="009D315A">
        <w:rPr>
          <w:lang w:val="bg-BG"/>
        </w:rPr>
        <w:t xml:space="preserve"> </w:t>
      </w:r>
      <w:r w:rsidR="009D315A" w:rsidRPr="009D315A">
        <w:t>репутация. Със своята ди</w:t>
      </w:r>
      <w:r w:rsidR="007B5B3D">
        <w:t>алогичност, с богата си лингвистична</w:t>
      </w:r>
      <w:r w:rsidR="009D315A" w:rsidRPr="009D315A">
        <w:t xml:space="preserve"> и обща култура тя успява да</w:t>
      </w:r>
      <w:r w:rsidR="009D315A">
        <w:rPr>
          <w:lang w:val="bg-BG"/>
        </w:rPr>
        <w:t xml:space="preserve"> </w:t>
      </w:r>
      <w:r w:rsidR="009D315A">
        <w:t>ангажира интереса на студентите и да ги мотивира в учебния процес.</w:t>
      </w:r>
    </w:p>
    <w:p w:rsidR="00EA4CF6" w:rsidRDefault="00EA4CF6" w:rsidP="00E86E02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EA4CF6">
        <w:rPr>
          <w:b/>
          <w:bCs/>
        </w:rPr>
        <w:t>Публикационна дейност на кандидата</w:t>
      </w:r>
    </w:p>
    <w:p w:rsidR="00A66404" w:rsidRDefault="00316557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Кандидатът има общо 71 </w:t>
      </w:r>
      <w:r w:rsidR="00A66404" w:rsidRPr="00A66404">
        <w:rPr>
          <w:rFonts w:ascii="Times New Roman" w:hAnsi="Times New Roman" w:cs="Times New Roman"/>
          <w:sz w:val="24"/>
          <w:szCs w:val="24"/>
        </w:rPr>
        <w:t>публикации, като за н</w:t>
      </w:r>
      <w:r w:rsidR="00A66404">
        <w:rPr>
          <w:rFonts w:ascii="Times New Roman" w:hAnsi="Times New Roman" w:cs="Times New Roman"/>
          <w:sz w:val="24"/>
          <w:szCs w:val="24"/>
        </w:rPr>
        <w:t xml:space="preserve">астоящия конкурс е представила </w:t>
      </w:r>
      <w:r w:rsidR="00CE1425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монография, </w:t>
      </w:r>
      <w:r w:rsidRPr="00316557">
        <w:rPr>
          <w:rFonts w:ascii="Times New Roman" w:hAnsi="Times New Roman" w:cs="Times New Roman"/>
          <w:sz w:val="24"/>
          <w:szCs w:val="24"/>
        </w:rPr>
        <w:t>22 публикации, 3 учебника и учебни помагала</w:t>
      </w:r>
      <w:r w:rsidR="00A66404" w:rsidRPr="00A66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Има 6 публикации в</w:t>
      </w:r>
      <w:r w:rsidR="00A66404" w:rsidRPr="00A66404">
        <w:rPr>
          <w:rFonts w:ascii="Times New Roman" w:hAnsi="Times New Roman" w:cs="Times New Roman"/>
          <w:sz w:val="24"/>
          <w:szCs w:val="24"/>
        </w:rPr>
        <w:t xml:space="preserve"> издания, които са реферирани и индексирани в световноизвестни бази</w:t>
      </w:r>
      <w:r w:rsidR="00A664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404" w:rsidRPr="00A66404">
        <w:rPr>
          <w:rFonts w:ascii="Times New Roman" w:hAnsi="Times New Roman" w:cs="Times New Roman"/>
          <w:sz w:val="24"/>
          <w:szCs w:val="24"/>
        </w:rPr>
        <w:t>данни с научна информац</w:t>
      </w:r>
      <w:r>
        <w:rPr>
          <w:rFonts w:ascii="Times New Roman" w:hAnsi="Times New Roman" w:cs="Times New Roman"/>
          <w:sz w:val="24"/>
          <w:szCs w:val="24"/>
        </w:rPr>
        <w:t>ия.</w:t>
      </w:r>
      <w:r w:rsidR="00A8521E">
        <w:rPr>
          <w:rFonts w:ascii="Times New Roman" w:hAnsi="Times New Roman" w:cs="Times New Roman"/>
          <w:sz w:val="24"/>
          <w:szCs w:val="24"/>
        </w:rPr>
        <w:t xml:space="preserve"> Кандидатката</w:t>
      </w:r>
      <w:r w:rsidR="00A66404" w:rsidRPr="00A66404">
        <w:rPr>
          <w:rFonts w:ascii="Times New Roman" w:hAnsi="Times New Roman" w:cs="Times New Roman"/>
          <w:sz w:val="24"/>
          <w:szCs w:val="24"/>
        </w:rPr>
        <w:t xml:space="preserve"> е развил</w:t>
      </w:r>
      <w:r w:rsidR="00A8521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66404" w:rsidRPr="00A66404">
        <w:rPr>
          <w:rFonts w:ascii="Times New Roman" w:hAnsi="Times New Roman" w:cs="Times New Roman"/>
          <w:sz w:val="24"/>
          <w:szCs w:val="24"/>
        </w:rPr>
        <w:t xml:space="preserve"> по-голяма част от</w:t>
      </w:r>
      <w:r w:rsidR="00A664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1425">
        <w:rPr>
          <w:rFonts w:ascii="Times New Roman" w:hAnsi="Times New Roman" w:cs="Times New Roman"/>
          <w:sz w:val="24"/>
          <w:szCs w:val="24"/>
        </w:rPr>
        <w:t>своите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на английски</w:t>
      </w:r>
      <w:r w:rsidR="00A66404" w:rsidRPr="00A66404">
        <w:rPr>
          <w:rFonts w:ascii="Times New Roman" w:hAnsi="Times New Roman" w:cs="Times New Roman"/>
          <w:sz w:val="24"/>
          <w:szCs w:val="24"/>
        </w:rPr>
        <w:t xml:space="preserve">, но успоредно с това </w:t>
      </w:r>
      <w:r>
        <w:rPr>
          <w:rFonts w:ascii="Times New Roman" w:hAnsi="Times New Roman" w:cs="Times New Roman"/>
          <w:sz w:val="24"/>
          <w:szCs w:val="24"/>
        </w:rPr>
        <w:t>е публикувал</w:t>
      </w:r>
      <w:r w:rsidR="00A8521E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редица статии и </w:t>
      </w:r>
      <w:r w:rsidR="00A66404" w:rsidRPr="00A66404">
        <w:rPr>
          <w:rFonts w:ascii="Times New Roman" w:hAnsi="Times New Roman" w:cs="Times New Roman"/>
          <w:sz w:val="24"/>
          <w:szCs w:val="24"/>
        </w:rPr>
        <w:t>на</w:t>
      </w:r>
      <w:r w:rsidR="00A664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404" w:rsidRPr="00A66404">
        <w:rPr>
          <w:rFonts w:ascii="Times New Roman" w:hAnsi="Times New Roman" w:cs="Times New Roman"/>
          <w:sz w:val="24"/>
          <w:szCs w:val="24"/>
        </w:rPr>
        <w:t>български с оглед</w:t>
      </w:r>
      <w:r>
        <w:rPr>
          <w:rFonts w:ascii="Times New Roman" w:hAnsi="Times New Roman" w:cs="Times New Roman"/>
          <w:sz w:val="24"/>
          <w:szCs w:val="24"/>
        </w:rPr>
        <w:t xml:space="preserve"> да популяризира сред лингвистичната</w:t>
      </w:r>
      <w:r w:rsidR="00A66404" w:rsidRPr="00A66404">
        <w:rPr>
          <w:rFonts w:ascii="Times New Roman" w:hAnsi="Times New Roman" w:cs="Times New Roman"/>
          <w:sz w:val="24"/>
          <w:szCs w:val="24"/>
        </w:rPr>
        <w:t xml:space="preserve"> общност и студентите съвременните</w:t>
      </w:r>
      <w:r w:rsidR="00A664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404" w:rsidRPr="00A66404">
        <w:rPr>
          <w:rFonts w:ascii="Times New Roman" w:hAnsi="Times New Roman" w:cs="Times New Roman"/>
          <w:sz w:val="24"/>
          <w:szCs w:val="24"/>
        </w:rPr>
        <w:t>методи на изследване и актуалн</w:t>
      </w:r>
      <w:r>
        <w:rPr>
          <w:rFonts w:ascii="Times New Roman" w:hAnsi="Times New Roman" w:cs="Times New Roman"/>
          <w:sz w:val="24"/>
          <w:szCs w:val="24"/>
        </w:rPr>
        <w:t xml:space="preserve">ите </w:t>
      </w:r>
      <w:r w:rsidR="00095C1D">
        <w:rPr>
          <w:rFonts w:ascii="Times New Roman" w:hAnsi="Times New Roman" w:cs="Times New Roman"/>
          <w:sz w:val="24"/>
          <w:szCs w:val="24"/>
        </w:rPr>
        <w:t>проблеми на текстовата лингвистика и анализа на дискурса</w:t>
      </w:r>
      <w:r w:rsidR="00A66404" w:rsidRPr="00A66404">
        <w:rPr>
          <w:rFonts w:ascii="Times New Roman" w:hAnsi="Times New Roman" w:cs="Times New Roman"/>
          <w:sz w:val="24"/>
          <w:szCs w:val="24"/>
        </w:rPr>
        <w:t>, каквато е мисията на</w:t>
      </w:r>
      <w:r w:rsidR="00A664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6404" w:rsidRPr="00A66404">
        <w:rPr>
          <w:rFonts w:ascii="Times New Roman" w:hAnsi="Times New Roman" w:cs="Times New Roman"/>
          <w:sz w:val="24"/>
          <w:szCs w:val="24"/>
        </w:rPr>
        <w:t>един университетски преподавател.</w:t>
      </w:r>
    </w:p>
    <w:p w:rsidR="00B334E3" w:rsidRDefault="00B334E3" w:rsidP="00E86E02">
      <w:pPr>
        <w:pStyle w:val="Default"/>
        <w:jc w:val="both"/>
        <w:rPr>
          <w:sz w:val="23"/>
          <w:szCs w:val="23"/>
        </w:rPr>
      </w:pPr>
      <w:r w:rsidRPr="00B334E3">
        <w:rPr>
          <w:sz w:val="23"/>
          <w:szCs w:val="23"/>
        </w:rPr>
        <w:t>Монографията</w:t>
      </w:r>
      <w:r>
        <w:rPr>
          <w:sz w:val="23"/>
          <w:szCs w:val="23"/>
          <w:lang w:val="bg-BG"/>
        </w:rPr>
        <w:t xml:space="preserve">  </w:t>
      </w:r>
      <w:r w:rsidRPr="00B334E3">
        <w:rPr>
          <w:b/>
          <w:bCs/>
          <w:i/>
          <w:iCs/>
          <w:sz w:val="23"/>
          <w:szCs w:val="23"/>
        </w:rPr>
        <w:t xml:space="preserve">Language Gaffes </w:t>
      </w:r>
      <w:r w:rsidRPr="00B334E3">
        <w:rPr>
          <w:sz w:val="23"/>
          <w:szCs w:val="23"/>
        </w:rPr>
        <w:t>(</w:t>
      </w:r>
      <w:r w:rsidRPr="003622E3">
        <w:rPr>
          <w:i/>
          <w:sz w:val="23"/>
          <w:szCs w:val="23"/>
        </w:rPr>
        <w:t>L</w:t>
      </w:r>
      <w:r w:rsidRPr="00B334E3">
        <w:rPr>
          <w:b/>
          <w:bCs/>
          <w:i/>
          <w:iCs/>
          <w:sz w:val="23"/>
          <w:szCs w:val="23"/>
        </w:rPr>
        <w:t xml:space="preserve">inguistic, Discursive and Cognitive </w:t>
      </w:r>
      <w:r w:rsidRPr="00B334E3">
        <w:rPr>
          <w:sz w:val="23"/>
          <w:szCs w:val="23"/>
        </w:rPr>
        <w:t>A</w:t>
      </w:r>
      <w:r w:rsidRPr="00B334E3">
        <w:rPr>
          <w:b/>
          <w:bCs/>
          <w:i/>
          <w:iCs/>
          <w:sz w:val="23"/>
          <w:szCs w:val="23"/>
        </w:rPr>
        <w:t>spects of ‘Language Bloopers’)</w:t>
      </w:r>
      <w:r>
        <w:rPr>
          <w:b/>
          <w:bCs/>
          <w:i/>
          <w:iCs/>
          <w:sz w:val="23"/>
          <w:szCs w:val="23"/>
          <w:lang w:val="bg-BG"/>
        </w:rPr>
        <w:t xml:space="preserve"> </w:t>
      </w:r>
      <w:r>
        <w:rPr>
          <w:lang w:val="bg-BG"/>
        </w:rPr>
        <w:t>р</w:t>
      </w:r>
      <w:r w:rsidRPr="00B334E3">
        <w:rPr>
          <w:sz w:val="23"/>
          <w:szCs w:val="23"/>
        </w:rPr>
        <w:t>азкрива как разбирането на езиковите гафове от когнитивна гледна точка може да спомогне за обяснението на тяхното съществуване, природата им и на контекстуално зависимата им поява.</w:t>
      </w:r>
      <w:r w:rsidRPr="00B334E3">
        <w:t xml:space="preserve"> </w:t>
      </w:r>
      <w:r>
        <w:rPr>
          <w:sz w:val="23"/>
          <w:szCs w:val="23"/>
          <w:lang w:val="bg-BG"/>
        </w:rPr>
        <w:t>П</w:t>
      </w:r>
      <w:r w:rsidRPr="00B334E3">
        <w:rPr>
          <w:sz w:val="23"/>
          <w:szCs w:val="23"/>
        </w:rPr>
        <w:t xml:space="preserve">одкрепя </w:t>
      </w:r>
      <w:r w:rsidR="00E355B6">
        <w:rPr>
          <w:sz w:val="23"/>
          <w:szCs w:val="23"/>
          <w:lang w:val="bg-BG"/>
        </w:rPr>
        <w:t xml:space="preserve">се </w:t>
      </w:r>
      <w:r w:rsidRPr="00B334E3">
        <w:rPr>
          <w:sz w:val="23"/>
          <w:szCs w:val="23"/>
        </w:rPr>
        <w:t xml:space="preserve">тезата, че езиковите гафове възникват от вече съществуващи конвенционализирани когнитивни процеси, които могат да се разглеждат като: (а) несвързани с езика процеси, или (б) когнитивни ресурси, свързани с конкретен езиков код. </w:t>
      </w:r>
      <w:r w:rsidR="00E355B6">
        <w:rPr>
          <w:sz w:val="23"/>
          <w:szCs w:val="23"/>
          <w:lang w:val="bg-BG"/>
        </w:rPr>
        <w:t>Тя доказва, че н</w:t>
      </w:r>
      <w:r>
        <w:rPr>
          <w:sz w:val="23"/>
          <w:szCs w:val="23"/>
        </w:rPr>
        <w:t>ай-големият брой езикови гафове възникват поради проблемите на продуциращия текста при конструирането на когнитивни структури</w:t>
      </w:r>
      <w:r w:rsidR="00E355B6">
        <w:rPr>
          <w:sz w:val="23"/>
          <w:szCs w:val="23"/>
          <w:lang w:val="bg-BG"/>
        </w:rPr>
        <w:t xml:space="preserve"> и </w:t>
      </w:r>
      <w:r>
        <w:rPr>
          <w:sz w:val="23"/>
          <w:szCs w:val="23"/>
        </w:rPr>
        <w:t>предлага три типологии на езикови гафове</w:t>
      </w:r>
      <w:r>
        <w:rPr>
          <w:sz w:val="23"/>
          <w:szCs w:val="23"/>
          <w:lang w:val="bg-BG"/>
        </w:rPr>
        <w:t xml:space="preserve">, </w:t>
      </w:r>
      <w:r w:rsidR="00E355B6">
        <w:rPr>
          <w:sz w:val="23"/>
          <w:szCs w:val="23"/>
        </w:rPr>
        <w:t>предоставя и обсъжда социолингвистични данни, получени чрез анкетни проучвания, включващи реални носители на езика като респонденти</w:t>
      </w:r>
      <w:r w:rsidR="00E355B6">
        <w:rPr>
          <w:sz w:val="23"/>
          <w:szCs w:val="23"/>
          <w:lang w:val="bg-BG"/>
        </w:rPr>
        <w:t xml:space="preserve">. Доказва се, </w:t>
      </w:r>
      <w:r w:rsidR="00E355B6">
        <w:rPr>
          <w:sz w:val="23"/>
          <w:szCs w:val="23"/>
        </w:rPr>
        <w:t>че езиковите гафове се появяват в ориентирани към социалния статус типове дискурс (напр. публичен или медииран дискурс)</w:t>
      </w:r>
      <w:r w:rsidR="006412C6">
        <w:rPr>
          <w:sz w:val="23"/>
          <w:szCs w:val="23"/>
          <w:lang w:val="bg-BG"/>
        </w:rPr>
        <w:t>.</w:t>
      </w:r>
      <w:r w:rsidR="006412C6" w:rsidRPr="006412C6">
        <w:rPr>
          <w:sz w:val="23"/>
          <w:szCs w:val="23"/>
        </w:rPr>
        <w:t xml:space="preserve"> </w:t>
      </w:r>
      <w:r w:rsidR="006412C6">
        <w:rPr>
          <w:sz w:val="23"/>
          <w:szCs w:val="23"/>
        </w:rPr>
        <w:t>Като цяло, монографията разкрива, че въпреки че езиковите гафове обикновено се определят като „езикови грешки“, нито един от двата аспекта (т.е. „езикови“ и „грешки“) не се възприема от носителите на езика като решаващ фактор относно това какво всъщност представляват „езиковите гафове“.</w:t>
      </w:r>
    </w:p>
    <w:p w:rsidR="002C5F75" w:rsidRPr="006412C6" w:rsidRDefault="002C5F75" w:rsidP="00E86E02">
      <w:pPr>
        <w:pStyle w:val="Default"/>
        <w:jc w:val="both"/>
        <w:rPr>
          <w:lang w:val="bg-BG"/>
        </w:rPr>
      </w:pPr>
      <w:r>
        <w:rPr>
          <w:sz w:val="23"/>
          <w:szCs w:val="23"/>
        </w:rPr>
        <w:t xml:space="preserve">Тематично свързаната статия </w:t>
      </w:r>
      <w:r>
        <w:rPr>
          <w:b/>
          <w:bCs/>
          <w:i/>
          <w:iCs/>
          <w:sz w:val="23"/>
          <w:szCs w:val="23"/>
        </w:rPr>
        <w:t xml:space="preserve">Езиковите гафове и езиковите игри като „грешки“ и „смешки“ </w:t>
      </w:r>
      <w:r>
        <w:rPr>
          <w:sz w:val="23"/>
          <w:szCs w:val="23"/>
        </w:rPr>
        <w:t>отличава два вида „бисери“ – истински, непреднамерени езикови гафове и хумористични езикови игри, които целят да наподобят истинските, непреднамерени езикови гафове.</w:t>
      </w:r>
      <w:r w:rsidRPr="002C5F75">
        <w:rPr>
          <w:sz w:val="23"/>
          <w:szCs w:val="23"/>
        </w:rPr>
        <w:t xml:space="preserve"> </w:t>
      </w:r>
      <w:r>
        <w:rPr>
          <w:sz w:val="23"/>
          <w:szCs w:val="23"/>
        </w:rPr>
        <w:t>Направените изводи показват, че езиковите грешки и езиковите игри, имитиращи езикови грешки, се различават, но не достатъчно, за да бъдат считани за две отделни когнитивни и дискурсни явления.</w:t>
      </w:r>
    </w:p>
    <w:p w:rsidR="000279A6" w:rsidRPr="000279A6" w:rsidRDefault="002C5F75" w:rsidP="00E86E02">
      <w:pPr>
        <w:pStyle w:val="Default"/>
        <w:jc w:val="both"/>
        <w:rPr>
          <w:sz w:val="23"/>
          <w:szCs w:val="23"/>
        </w:rPr>
      </w:pPr>
      <w:r>
        <w:rPr>
          <w:lang w:val="bg-BG"/>
        </w:rPr>
        <w:lastRenderedPageBreak/>
        <w:t xml:space="preserve">Останалите </w:t>
      </w:r>
      <w:r w:rsidR="00A66404" w:rsidRPr="00A66404">
        <w:t>научни</w:t>
      </w:r>
      <w:r w:rsidR="00A66404">
        <w:rPr>
          <w:lang w:val="bg-BG"/>
        </w:rPr>
        <w:t xml:space="preserve"> </w:t>
      </w:r>
      <w:r w:rsidR="00A66404">
        <w:t>приноси</w:t>
      </w:r>
      <w:r>
        <w:rPr>
          <w:lang w:val="bg-BG"/>
        </w:rPr>
        <w:t xml:space="preserve"> на кандидатката са групирани в четири тематични групи</w:t>
      </w:r>
      <w:r w:rsidR="00A66404">
        <w:t>:</w:t>
      </w:r>
      <w:r>
        <w:rPr>
          <w:lang w:val="bg-BG"/>
        </w:rPr>
        <w:t xml:space="preserve"> </w:t>
      </w:r>
      <w:r w:rsidRPr="002C5F75">
        <w:rPr>
          <w:i/>
        </w:rPr>
        <w:t>Полити</w:t>
      </w:r>
      <w:r w:rsidR="000279A6" w:rsidRPr="00891543">
        <w:rPr>
          <w:i/>
        </w:rPr>
        <w:t>чески дискурс</w:t>
      </w:r>
      <w:r w:rsidR="000279A6">
        <w:t>,коя</w:t>
      </w:r>
      <w:r>
        <w:t>то включва</w:t>
      </w:r>
      <w:r w:rsidR="000279A6">
        <w:rPr>
          <w:lang w:val="bg-BG"/>
        </w:rPr>
        <w:t xml:space="preserve"> 8 статии,</w:t>
      </w:r>
      <w:r w:rsidR="00891543">
        <w:rPr>
          <w:lang w:val="bg-BG"/>
        </w:rPr>
        <w:t xml:space="preserve"> </w:t>
      </w:r>
      <w:r w:rsidR="00891543">
        <w:rPr>
          <w:sz w:val="23"/>
          <w:szCs w:val="23"/>
        </w:rPr>
        <w:t>всички</w:t>
      </w:r>
      <w:r w:rsidR="00891543">
        <w:rPr>
          <w:sz w:val="23"/>
          <w:szCs w:val="23"/>
          <w:lang w:val="bg-BG"/>
        </w:rPr>
        <w:t>те от които</w:t>
      </w:r>
      <w:r w:rsidR="00891543">
        <w:rPr>
          <w:sz w:val="23"/>
          <w:szCs w:val="23"/>
        </w:rPr>
        <w:t xml:space="preserve"> възприемат когнитивна гледна точка към обекта си на анализ – те изолират, описват и анализират концептуални структури, лежащи в основата на (а) текстовете в политическия дискурс, и (б) когнитивното процесиране на политически дискурсивни текстове</w:t>
      </w:r>
      <w:r w:rsidR="00891543">
        <w:rPr>
          <w:lang w:val="bg-BG"/>
        </w:rPr>
        <w:t xml:space="preserve">. Втората група, </w:t>
      </w:r>
      <w:r w:rsidR="000279A6" w:rsidRPr="00891543">
        <w:rPr>
          <w:i/>
        </w:rPr>
        <w:t>Дискурсни и текстови светове</w:t>
      </w:r>
      <w:r w:rsidR="000279A6">
        <w:t>, включва</w:t>
      </w:r>
      <w:r w:rsidR="000279A6">
        <w:rPr>
          <w:lang w:val="bg-BG"/>
        </w:rPr>
        <w:t xml:space="preserve"> 5 статии, </w:t>
      </w:r>
      <w:r w:rsidR="00891543">
        <w:rPr>
          <w:lang w:val="bg-BG"/>
        </w:rPr>
        <w:t xml:space="preserve">които </w:t>
      </w:r>
      <w:r w:rsidR="00891543">
        <w:rPr>
          <w:sz w:val="23"/>
          <w:szCs w:val="23"/>
        </w:rPr>
        <w:t xml:space="preserve">съчетават теориите за текстовите </w:t>
      </w:r>
      <w:r w:rsidR="00891543">
        <w:rPr>
          <w:sz w:val="23"/>
          <w:szCs w:val="23"/>
          <w:lang w:val="bg-BG"/>
        </w:rPr>
        <w:t>(</w:t>
      </w:r>
      <w:r w:rsidR="00891543">
        <w:t xml:space="preserve">де Богранд и Дреслер, </w:t>
      </w:r>
      <w:r w:rsidR="00891543">
        <w:rPr>
          <w:sz w:val="23"/>
          <w:szCs w:val="23"/>
        </w:rPr>
        <w:t>1981), и дискурсните светове с Теорията за концептуалните ме</w:t>
      </w:r>
      <w:r w:rsidR="003622E3">
        <w:rPr>
          <w:sz w:val="23"/>
          <w:szCs w:val="23"/>
          <w:lang w:val="bg-BG"/>
        </w:rPr>
        <w:t>та</w:t>
      </w:r>
      <w:r w:rsidR="00891543">
        <w:rPr>
          <w:sz w:val="23"/>
          <w:szCs w:val="23"/>
        </w:rPr>
        <w:t xml:space="preserve">фори и Теорията за концептуалните сливания. По този начин се проследява пренасянето и припокриването на сходни и идентични конструкти между двата вида Светове. </w:t>
      </w:r>
      <w:r w:rsidR="00891543">
        <w:rPr>
          <w:sz w:val="23"/>
          <w:szCs w:val="23"/>
          <w:lang w:val="bg-BG"/>
        </w:rPr>
        <w:t xml:space="preserve">Третата </w:t>
      </w:r>
      <w:r w:rsidR="00891543" w:rsidRPr="00891543">
        <w:rPr>
          <w:i/>
          <w:sz w:val="23"/>
          <w:szCs w:val="23"/>
          <w:lang w:val="bg-BG"/>
        </w:rPr>
        <w:t xml:space="preserve">група </w:t>
      </w:r>
      <w:r w:rsidR="000279A6" w:rsidRPr="000279A6">
        <w:rPr>
          <w:bCs/>
          <w:i/>
          <w:sz w:val="23"/>
          <w:szCs w:val="23"/>
        </w:rPr>
        <w:t>Текстови функции и структури</w:t>
      </w:r>
      <w:r w:rsidR="000279A6">
        <w:t>, която включва</w:t>
      </w:r>
      <w:r w:rsidR="000279A6" w:rsidRPr="000279A6">
        <w:t xml:space="preserve"> </w:t>
      </w:r>
      <w:r w:rsidR="000279A6">
        <w:rPr>
          <w:lang w:val="bg-BG"/>
        </w:rPr>
        <w:t>5 статии</w:t>
      </w:r>
      <w:r w:rsidR="00554956">
        <w:rPr>
          <w:lang w:val="bg-BG"/>
        </w:rPr>
        <w:t>,</w:t>
      </w:r>
      <w:r w:rsidR="000279A6">
        <w:rPr>
          <w:lang w:val="bg-BG"/>
        </w:rPr>
        <w:t xml:space="preserve"> </w:t>
      </w:r>
      <w:r w:rsidR="00554956">
        <w:rPr>
          <w:sz w:val="23"/>
          <w:szCs w:val="23"/>
        </w:rPr>
        <w:t xml:space="preserve">допринася към модерните разбирания за понятията „тип текст“, „структура на текста“ и „жанр“ като съчетава тези разбирания с целите на преподаването на текстови видове и жанрове </w:t>
      </w:r>
      <w:r w:rsidR="000279A6">
        <w:rPr>
          <w:lang w:val="bg-BG"/>
        </w:rPr>
        <w:t xml:space="preserve">и </w:t>
      </w:r>
      <w:r w:rsidR="00891543">
        <w:rPr>
          <w:lang w:val="bg-BG"/>
        </w:rPr>
        <w:t xml:space="preserve">четвъртата група </w:t>
      </w:r>
      <w:r w:rsidR="000279A6" w:rsidRPr="000279A6">
        <w:rPr>
          <w:bCs/>
          <w:i/>
          <w:sz w:val="23"/>
          <w:szCs w:val="23"/>
        </w:rPr>
        <w:t>Фигуративност</w:t>
      </w:r>
      <w:r w:rsidR="000279A6">
        <w:t>, която включва</w:t>
      </w:r>
      <w:r w:rsidR="000279A6">
        <w:rPr>
          <w:lang w:val="bg-BG"/>
        </w:rPr>
        <w:t xml:space="preserve"> 3 статии</w:t>
      </w:r>
      <w:r w:rsidR="00554956">
        <w:rPr>
          <w:lang w:val="bg-BG"/>
        </w:rPr>
        <w:t>,</w:t>
      </w:r>
      <w:r w:rsidR="00554956" w:rsidRPr="00554956">
        <w:rPr>
          <w:sz w:val="23"/>
          <w:szCs w:val="23"/>
        </w:rPr>
        <w:t xml:space="preserve"> </w:t>
      </w:r>
      <w:r w:rsidR="00554956">
        <w:rPr>
          <w:sz w:val="23"/>
          <w:szCs w:val="23"/>
        </w:rPr>
        <w:t>демонстрира</w:t>
      </w:r>
      <w:r w:rsidR="00554956" w:rsidRPr="00554956">
        <w:rPr>
          <w:sz w:val="23"/>
          <w:szCs w:val="23"/>
        </w:rPr>
        <w:t>, че сама по себе си метафоричната концептуализация, която оперира при производството и интерпретацията на цели текстове, не може да обясни в достатъчна степен организацията и структурирането на целия текст</w:t>
      </w:r>
      <w:r w:rsidR="00554956">
        <w:rPr>
          <w:sz w:val="23"/>
          <w:szCs w:val="23"/>
        </w:rPr>
        <w:t xml:space="preserve">. </w:t>
      </w:r>
      <w:r w:rsidR="00554956">
        <w:rPr>
          <w:sz w:val="23"/>
          <w:szCs w:val="23"/>
          <w:lang w:val="bg-BG"/>
        </w:rPr>
        <w:t>З</w:t>
      </w:r>
      <w:r w:rsidR="00554956" w:rsidRPr="00554956">
        <w:rPr>
          <w:sz w:val="23"/>
          <w:szCs w:val="23"/>
        </w:rPr>
        <w:t>а да постигнем по-добро обяснение на това как се случва структурирането на целия текст в когнитивен план, трябва паралелно да отчетем и наличието или отсъствието на припокриване между текстови и Дискурсни Светове</w:t>
      </w:r>
      <w:r w:rsidR="000279A6">
        <w:rPr>
          <w:lang w:val="bg-BG"/>
        </w:rPr>
        <w:t xml:space="preserve">. </w:t>
      </w:r>
      <w:r w:rsidR="000279A6" w:rsidRPr="000279A6">
        <w:rPr>
          <w:b/>
          <w:bCs/>
          <w:sz w:val="23"/>
          <w:szCs w:val="23"/>
        </w:rPr>
        <w:t xml:space="preserve"> </w:t>
      </w:r>
    </w:p>
    <w:p w:rsidR="00FA60B3" w:rsidRPr="0043320D" w:rsidRDefault="0043320D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4.</w:t>
      </w:r>
      <w:r w:rsidR="00FA60B3" w:rsidRPr="0043320D">
        <w:rPr>
          <w:rFonts w:ascii="Times New Roman" w:hAnsi="Times New Roman" w:cs="Times New Roman"/>
          <w:b/>
          <w:bCs/>
          <w:sz w:val="24"/>
          <w:szCs w:val="24"/>
        </w:rPr>
        <w:t>Отражение на публикациите на кандидата</w:t>
      </w:r>
    </w:p>
    <w:p w:rsidR="00FA60B3" w:rsidRDefault="00A8521E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Представени са общо 27</w:t>
      </w:r>
      <w:r w:rsidR="00FA60B3">
        <w:rPr>
          <w:rFonts w:ascii="Times New Roman" w:hAnsi="Times New Roman" w:cs="Times New Roman"/>
          <w:sz w:val="24"/>
          <w:szCs w:val="24"/>
        </w:rPr>
        <w:t xml:space="preserve"> цитата на</w:t>
      </w:r>
      <w:r w:rsidR="003C6986">
        <w:rPr>
          <w:rFonts w:ascii="Times New Roman" w:hAnsi="Times New Roman" w:cs="Times New Roman"/>
          <w:sz w:val="24"/>
          <w:szCs w:val="24"/>
        </w:rPr>
        <w:t xml:space="preserve"> публикации на кандидата, </w:t>
      </w:r>
      <w:r w:rsidR="007E1D69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="003C698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C6986">
        <w:rPr>
          <w:rFonts w:ascii="Times New Roman" w:hAnsi="Times New Roman" w:cs="Times New Roman"/>
          <w:sz w:val="24"/>
          <w:szCs w:val="24"/>
        </w:rPr>
        <w:t xml:space="preserve"> са в монографии</w:t>
      </w:r>
      <w:r w:rsidR="007E1D69">
        <w:rPr>
          <w:rFonts w:ascii="Times New Roman" w:hAnsi="Times New Roman" w:cs="Times New Roman"/>
          <w:sz w:val="24"/>
          <w:szCs w:val="24"/>
        </w:rPr>
        <w:t>.</w:t>
      </w:r>
      <w:r w:rsidR="00FA60B3">
        <w:rPr>
          <w:rFonts w:ascii="Times New Roman" w:hAnsi="Times New Roman" w:cs="Times New Roman"/>
          <w:sz w:val="24"/>
          <w:szCs w:val="24"/>
        </w:rPr>
        <w:t xml:space="preserve"> </w:t>
      </w:r>
      <w:r w:rsidR="007E1D69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3C6986">
        <w:rPr>
          <w:rFonts w:ascii="Times New Roman" w:hAnsi="Times New Roman" w:cs="Times New Roman"/>
          <w:sz w:val="24"/>
          <w:szCs w:val="24"/>
          <w:lang w:val="bg-BG"/>
        </w:rPr>
        <w:t xml:space="preserve">рави впечатление големия брой </w:t>
      </w:r>
      <w:r w:rsidR="003C6986">
        <w:rPr>
          <w:rFonts w:ascii="Times New Roman" w:hAnsi="Times New Roman" w:cs="Times New Roman"/>
          <w:sz w:val="24"/>
          <w:szCs w:val="24"/>
        </w:rPr>
        <w:t>цитирания в научни издания, индексирани в световноизвестни бази</w:t>
      </w:r>
      <w:r w:rsidR="003C6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6986">
        <w:rPr>
          <w:rFonts w:ascii="Times New Roman" w:hAnsi="Times New Roman" w:cs="Times New Roman"/>
          <w:sz w:val="24"/>
          <w:szCs w:val="24"/>
        </w:rPr>
        <w:t>данни с научна информация</w:t>
      </w:r>
      <w:r w:rsidR="003C6986">
        <w:rPr>
          <w:rFonts w:ascii="Times New Roman" w:hAnsi="Times New Roman" w:cs="Times New Roman"/>
          <w:sz w:val="24"/>
          <w:szCs w:val="24"/>
          <w:lang w:val="bg-BG"/>
        </w:rPr>
        <w:t xml:space="preserve"> – 10. </w:t>
      </w:r>
      <w:r w:rsidR="00FA60B3">
        <w:rPr>
          <w:rFonts w:ascii="Times New Roman" w:hAnsi="Times New Roman" w:cs="Times New Roman"/>
          <w:sz w:val="24"/>
          <w:szCs w:val="24"/>
        </w:rPr>
        <w:t>Цитирани</w:t>
      </w:r>
      <w:r w:rsidR="003C6986">
        <w:rPr>
          <w:rFonts w:ascii="Times New Roman" w:hAnsi="Times New Roman" w:cs="Times New Roman"/>
          <w:sz w:val="24"/>
          <w:szCs w:val="24"/>
        </w:rPr>
        <w:t xml:space="preserve"> са публикации в периода от 2007 г. до 2020</w:t>
      </w:r>
      <w:r w:rsidR="00FA60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60B3" w:rsidRDefault="00FA60B3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5. </w:t>
      </w:r>
      <w:r w:rsidRPr="00FA60B3">
        <w:rPr>
          <w:rFonts w:ascii="Times New Roman" w:hAnsi="Times New Roman" w:cs="Times New Roman"/>
          <w:b/>
          <w:bCs/>
          <w:sz w:val="24"/>
          <w:szCs w:val="24"/>
        </w:rPr>
        <w:t>Проектна дейност на кандидата</w:t>
      </w:r>
    </w:p>
    <w:p w:rsidR="00CD1FF1" w:rsidRPr="002B552A" w:rsidRDefault="00CF094F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Доц.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Тинчева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A60B3">
        <w:rPr>
          <w:rFonts w:ascii="Times New Roman" w:hAnsi="Times New Roman" w:cs="Times New Roman"/>
          <w:sz w:val="24"/>
          <w:szCs w:val="24"/>
        </w:rPr>
        <w:t>е уч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ствала в десет  национални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международни </w:t>
      </w:r>
      <w:r>
        <w:rPr>
          <w:rFonts w:ascii="Times New Roman" w:hAnsi="Times New Roman" w:cs="Times New Roman"/>
          <w:sz w:val="24"/>
          <w:szCs w:val="24"/>
        </w:rPr>
        <w:t>научни проекта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31807" w:rsidRPr="00B3180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</w:t>
      </w:r>
      <w:r w:rsidR="0024487E">
        <w:rPr>
          <w:rFonts w:ascii="Times New Roman" w:hAnsi="Times New Roman" w:cs="Times New Roman"/>
          <w:b/>
          <w:bCs/>
          <w:color w:val="323232"/>
          <w:sz w:val="24"/>
          <w:szCs w:val="24"/>
          <w:lang w:val="bg-BG"/>
        </w:rPr>
        <w:t>1)</w:t>
      </w:r>
      <w:r w:rsidR="00B31807" w:rsidRPr="002B552A">
        <w:rPr>
          <w:rFonts w:ascii="Times New Roman" w:hAnsi="Times New Roman" w:cs="Times New Roman"/>
          <w:bCs/>
          <w:sz w:val="24"/>
          <w:szCs w:val="24"/>
        </w:rPr>
        <w:t>BG National QCI Plan Programm: DIGITAL-2021-QCI-01-DEPLOY NATIONAL DIGITAL Project No 101091399, БАН</w:t>
      </w:r>
      <w:r w:rsidR="00B31807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, 2022 г.;</w:t>
      </w:r>
      <w:r w:rsidR="00B31807" w:rsidRPr="002B552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4487E" w:rsidRPr="002B552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2) </w:t>
      </w:r>
      <w:r w:rsidR="00B31807" w:rsidRPr="002B552A">
        <w:rPr>
          <w:rFonts w:ascii="Times New Roman" w:hAnsi="Times New Roman" w:cs="Times New Roman"/>
          <w:bCs/>
          <w:sz w:val="24"/>
          <w:szCs w:val="24"/>
        </w:rPr>
        <w:t xml:space="preserve">Проект BG05M2OP001-2.016-„Модернизация на Югозападен университет „Неофит Рилски“– гр. Благоевград, Национален военен университет "Васил Левски" – гр. Велико 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 xml:space="preserve">Търново и Софийски университет 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>Св. Климент Охридски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B31807" w:rsidRPr="002B552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B31807" w:rsidRPr="002B552A">
        <w:rPr>
          <w:rFonts w:ascii="Times New Roman" w:hAnsi="Times New Roman" w:cs="Times New Roman"/>
          <w:sz w:val="24"/>
          <w:szCs w:val="24"/>
        </w:rPr>
        <w:t>2021</w:t>
      </w:r>
      <w:r w:rsidR="00B31807" w:rsidRPr="002B552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4487E" w:rsidRPr="002B552A">
        <w:rPr>
          <w:rFonts w:ascii="Times New Roman" w:hAnsi="Times New Roman" w:cs="Times New Roman"/>
          <w:sz w:val="24"/>
          <w:szCs w:val="24"/>
          <w:lang w:val="bg-BG"/>
        </w:rPr>
        <w:t xml:space="preserve">3) </w:t>
      </w:r>
      <w:r w:rsidR="00B31807" w:rsidRPr="002B552A">
        <w:rPr>
          <w:rFonts w:ascii="Times New Roman" w:hAnsi="Times New Roman" w:cs="Times New Roman"/>
          <w:bCs/>
          <w:sz w:val="24"/>
          <w:szCs w:val="24"/>
        </w:rPr>
        <w:t>Фигуративно мислене и език 5/ Figurative Language and Thought 5</w:t>
      </w:r>
      <w:r w:rsidR="0024487E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B31807" w:rsidRPr="002B55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1807" w:rsidRPr="002B552A">
        <w:rPr>
          <w:rFonts w:ascii="Times New Roman" w:hAnsi="Times New Roman" w:cs="Times New Roman"/>
          <w:bCs/>
          <w:sz w:val="24"/>
          <w:szCs w:val="24"/>
        </w:rPr>
        <w:t>BG05M2OP001-1.002-0023</w:t>
      </w:r>
      <w:r w:rsidR="00CD1FF1" w:rsidRPr="002B55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D1FF1" w:rsidRPr="002B552A">
        <w:rPr>
          <w:rFonts w:ascii="Times New Roman" w:hAnsi="Times New Roman" w:cs="Times New Roman"/>
          <w:bCs/>
          <w:sz w:val="24"/>
          <w:szCs w:val="24"/>
        </w:rPr>
        <w:t>2020;</w:t>
      </w:r>
      <w:r w:rsidR="00CD1FF1" w:rsidRPr="002B5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87E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4)</w:t>
      </w:r>
      <w:r w:rsidR="0024487E" w:rsidRPr="002B552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 xml:space="preserve">Център за компетентност 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B31807" w:rsidRPr="002B552A">
        <w:rPr>
          <w:rFonts w:ascii="Times New Roman" w:hAnsi="Times New Roman" w:cs="Times New Roman"/>
          <w:bCs/>
          <w:sz w:val="24"/>
          <w:szCs w:val="24"/>
        </w:rPr>
        <w:t>Интелигентни мехатронни, eко- и енерго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>спестяващи системи и технологии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B31807" w:rsidRPr="002B552A">
        <w:rPr>
          <w:rFonts w:ascii="Times New Roman" w:hAnsi="Times New Roman" w:cs="Times New Roman"/>
          <w:bCs/>
          <w:sz w:val="24"/>
          <w:szCs w:val="24"/>
        </w:rPr>
        <w:t>; Институт по робот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 xml:space="preserve">ика-БАН и Софийски университет 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>Св. Климент Охридски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B31807" w:rsidRPr="002B552A">
        <w:rPr>
          <w:rFonts w:ascii="Times New Roman" w:hAnsi="Times New Roman" w:cs="Times New Roman"/>
          <w:sz w:val="24"/>
          <w:szCs w:val="24"/>
        </w:rPr>
        <w:t>,2018</w:t>
      </w:r>
      <w:r w:rsidR="00B31807" w:rsidRPr="002B552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4487E" w:rsidRPr="002B552A">
        <w:rPr>
          <w:rFonts w:ascii="Times New Roman" w:hAnsi="Times New Roman" w:cs="Times New Roman"/>
          <w:sz w:val="24"/>
          <w:szCs w:val="24"/>
          <w:lang w:val="bg-BG"/>
        </w:rPr>
        <w:t xml:space="preserve">5) </w:t>
      </w:r>
      <w:r w:rsidR="00B31807" w:rsidRPr="002B552A">
        <w:rPr>
          <w:rFonts w:ascii="Times New Roman" w:hAnsi="Times New Roman" w:cs="Times New Roman"/>
          <w:bCs/>
          <w:sz w:val="24"/>
          <w:szCs w:val="24"/>
        </w:rPr>
        <w:t>Модернизация на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 xml:space="preserve"> Национален военен университет 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>В. Левски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B31807" w:rsidRPr="002B552A">
        <w:rPr>
          <w:rFonts w:ascii="Times New Roman" w:hAnsi="Times New Roman" w:cs="Times New Roman"/>
          <w:bCs/>
          <w:sz w:val="24"/>
          <w:szCs w:val="24"/>
        </w:rPr>
        <w:t>- гр. Велико Търново и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 xml:space="preserve"> Софийски университет 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>Св. Климент Охридски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B31807" w:rsidRPr="002B552A">
        <w:rPr>
          <w:rFonts w:ascii="Times New Roman" w:hAnsi="Times New Roman" w:cs="Times New Roman"/>
          <w:bCs/>
          <w:sz w:val="24"/>
          <w:szCs w:val="24"/>
        </w:rPr>
        <w:t>- гр. София, Проект № BG05M2OP001-2.016-0003, ОП НОИР</w:t>
      </w:r>
      <w:r w:rsidR="00B31807" w:rsidRPr="002B5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807" w:rsidRPr="002B552A">
        <w:rPr>
          <w:rFonts w:ascii="Times New Roman" w:hAnsi="Times New Roman" w:cs="Times New Roman"/>
          <w:bCs/>
          <w:sz w:val="24"/>
          <w:szCs w:val="24"/>
        </w:rPr>
        <w:t>2014-2020</w:t>
      </w:r>
      <w:r w:rsidR="00B31807" w:rsidRPr="002B552A">
        <w:rPr>
          <w:rFonts w:ascii="Times New Roman" w:hAnsi="Times New Roman" w:cs="Times New Roman"/>
          <w:sz w:val="24"/>
          <w:szCs w:val="24"/>
        </w:rPr>
        <w:t>,</w:t>
      </w:r>
      <w:r w:rsidR="00CD1FF1" w:rsidRPr="002B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FF1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2016г.;</w:t>
      </w:r>
      <w:r w:rsidR="00CD1FF1" w:rsidRPr="002B5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87E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="0024487E" w:rsidRPr="002B552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) </w:t>
      </w:r>
      <w:r w:rsidR="00CD1FF1" w:rsidRPr="002B552A">
        <w:rPr>
          <w:rFonts w:ascii="Times New Roman" w:hAnsi="Times New Roman" w:cs="Times New Roman"/>
          <w:bCs/>
          <w:sz w:val="24"/>
          <w:szCs w:val="24"/>
        </w:rPr>
        <w:t>“Изграждане и развитие на Център за компетентност “Квантова комуникация, интелигентни системи за сигурност и управление на риска” (Quasar)”, БАН, BG05M2OP001-1.002-0006, ОП НОИР 2014-2020</w:t>
      </w:r>
      <w:r w:rsidR="00CD1FF1" w:rsidRPr="002B552A">
        <w:rPr>
          <w:rFonts w:ascii="Times New Roman" w:hAnsi="Times New Roman" w:cs="Times New Roman"/>
          <w:sz w:val="24"/>
          <w:szCs w:val="24"/>
        </w:rPr>
        <w:t>,</w:t>
      </w:r>
      <w:r w:rsidR="00CD1FF1" w:rsidRPr="002B552A">
        <w:rPr>
          <w:rFonts w:ascii="Times New Roman" w:hAnsi="Times New Roman" w:cs="Times New Roman"/>
          <w:sz w:val="24"/>
          <w:szCs w:val="24"/>
          <w:lang w:val="bg-BG"/>
        </w:rPr>
        <w:t xml:space="preserve">2015 г.; </w:t>
      </w:r>
      <w:r w:rsidR="0024487E" w:rsidRPr="002B552A">
        <w:rPr>
          <w:rFonts w:ascii="Times New Roman" w:hAnsi="Times New Roman" w:cs="Times New Roman"/>
          <w:sz w:val="24"/>
          <w:szCs w:val="24"/>
          <w:lang w:val="bg-BG"/>
        </w:rPr>
        <w:t xml:space="preserve">7) 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CD1FF1" w:rsidRPr="002B552A">
        <w:rPr>
          <w:rFonts w:ascii="Times New Roman" w:hAnsi="Times New Roman" w:cs="Times New Roman"/>
          <w:bCs/>
          <w:sz w:val="24"/>
          <w:szCs w:val="24"/>
        </w:rPr>
        <w:t>Създаване на единна система от тесто</w:t>
      </w:r>
      <w:r w:rsidR="00DC701A" w:rsidRPr="002B552A">
        <w:rPr>
          <w:rFonts w:ascii="Times New Roman" w:hAnsi="Times New Roman" w:cs="Times New Roman"/>
          <w:bCs/>
          <w:sz w:val="24"/>
          <w:szCs w:val="24"/>
        </w:rPr>
        <w:t>ве по лингвистичните дисциплини</w:t>
      </w:r>
      <w:r w:rsidR="00DC701A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CD1FF1" w:rsidRPr="002B552A">
        <w:rPr>
          <w:rFonts w:ascii="Times New Roman" w:hAnsi="Times New Roman" w:cs="Times New Roman"/>
          <w:bCs/>
          <w:sz w:val="24"/>
          <w:szCs w:val="24"/>
        </w:rPr>
        <w:t>, Н</w:t>
      </w:r>
      <w:r w:rsidR="006C06C4" w:rsidRPr="002B552A">
        <w:rPr>
          <w:rFonts w:ascii="Times New Roman" w:hAnsi="Times New Roman" w:cs="Times New Roman"/>
          <w:bCs/>
          <w:sz w:val="24"/>
          <w:szCs w:val="24"/>
        </w:rPr>
        <w:t>омер на договора:8/15.04.2013</w:t>
      </w:r>
      <w:r w:rsidR="006C06C4" w:rsidRPr="002B552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; </w:t>
      </w:r>
      <w:r w:rsidR="006C06C4" w:rsidRPr="002B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6C4" w:rsidRPr="002B552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8) </w:t>
      </w:r>
      <w:r w:rsidR="00CD1FF1" w:rsidRPr="002B552A">
        <w:rPr>
          <w:rFonts w:ascii="Times New Roman" w:hAnsi="Times New Roman" w:cs="Times New Roman"/>
          <w:bCs/>
          <w:sz w:val="24"/>
          <w:szCs w:val="24"/>
        </w:rPr>
        <w:t>“Иновативни методи и технологии за подобряване качеството на преподаване в Катедрата по англи</w:t>
      </w:r>
      <w:r w:rsidR="00950C4F" w:rsidRPr="002B552A">
        <w:rPr>
          <w:rFonts w:ascii="Times New Roman" w:hAnsi="Times New Roman" w:cs="Times New Roman"/>
          <w:bCs/>
          <w:sz w:val="24"/>
          <w:szCs w:val="24"/>
        </w:rPr>
        <w:t xml:space="preserve">цистика и американистика на СУ </w:t>
      </w:r>
      <w:r w:rsidR="00950C4F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950C4F" w:rsidRPr="002B552A">
        <w:rPr>
          <w:rFonts w:ascii="Times New Roman" w:hAnsi="Times New Roman" w:cs="Times New Roman"/>
          <w:bCs/>
          <w:sz w:val="24"/>
          <w:szCs w:val="24"/>
        </w:rPr>
        <w:t>Св. Климент Охридски</w:t>
      </w:r>
      <w:r w:rsidR="00950C4F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‘</w:t>
      </w:r>
      <w:r w:rsidR="00950C4F" w:rsidRPr="002B552A">
        <w:rPr>
          <w:rFonts w:ascii="Times New Roman" w:hAnsi="Times New Roman" w:cs="Times New Roman"/>
          <w:bCs/>
          <w:sz w:val="24"/>
          <w:szCs w:val="24"/>
        </w:rPr>
        <w:t xml:space="preserve"> , Фондация </w:t>
      </w:r>
      <w:r w:rsidR="00950C4F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950C4F" w:rsidRPr="002B552A">
        <w:rPr>
          <w:rFonts w:ascii="Times New Roman" w:hAnsi="Times New Roman" w:cs="Times New Roman"/>
          <w:bCs/>
          <w:sz w:val="24"/>
          <w:szCs w:val="24"/>
        </w:rPr>
        <w:t>Америка за България</w:t>
      </w:r>
      <w:r w:rsidR="00950C4F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950C4F" w:rsidRPr="002B55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0C4F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CD1FF1" w:rsidRPr="002B552A">
        <w:rPr>
          <w:rFonts w:ascii="Times New Roman" w:hAnsi="Times New Roman" w:cs="Times New Roman"/>
          <w:bCs/>
          <w:sz w:val="24"/>
          <w:szCs w:val="24"/>
        </w:rPr>
        <w:t>Фондация Университетск</w:t>
      </w:r>
      <w:r w:rsidR="00950C4F" w:rsidRPr="002B552A">
        <w:rPr>
          <w:rFonts w:ascii="Times New Roman" w:hAnsi="Times New Roman" w:cs="Times New Roman"/>
          <w:bCs/>
          <w:sz w:val="24"/>
          <w:szCs w:val="24"/>
        </w:rPr>
        <w:t>а Англицистика и Американистика</w:t>
      </w:r>
      <w:r w:rsidR="00950C4F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CD1FF1" w:rsidRPr="002B552A">
        <w:rPr>
          <w:rFonts w:ascii="Times New Roman" w:hAnsi="Times New Roman" w:cs="Times New Roman"/>
          <w:bCs/>
          <w:sz w:val="24"/>
          <w:szCs w:val="24"/>
        </w:rPr>
        <w:t>, Номер на договора:грант 0086.20130412</w:t>
      </w:r>
      <w:r w:rsidR="00CD1FF1" w:rsidRPr="002B552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CD1FF1" w:rsidRPr="002B552A">
        <w:rPr>
          <w:rFonts w:ascii="Times New Roman" w:hAnsi="Times New Roman" w:cs="Times New Roman"/>
          <w:sz w:val="24"/>
          <w:szCs w:val="24"/>
        </w:rPr>
        <w:t>2013</w:t>
      </w:r>
      <w:r w:rsidR="00CD1FF1" w:rsidRPr="002B552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C06C4" w:rsidRPr="002B552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4487E" w:rsidRPr="002B552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50C4F" w:rsidRPr="002B552A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CD1FF1" w:rsidRPr="002B552A">
        <w:rPr>
          <w:rFonts w:ascii="Times New Roman" w:hAnsi="Times New Roman" w:cs="Times New Roman"/>
          <w:bCs/>
          <w:sz w:val="24"/>
          <w:szCs w:val="24"/>
        </w:rPr>
        <w:t>Създаване на единна система от тестове по лингвистичните дисциплини”, СУ „Св. Климент Охридски“, Номер на договора:194/09.05.2012</w:t>
      </w:r>
      <w:r w:rsidR="00CD1FF1" w:rsidRPr="002B552A">
        <w:rPr>
          <w:rFonts w:ascii="Times New Roman" w:hAnsi="Times New Roman" w:cs="Times New Roman"/>
          <w:sz w:val="24"/>
          <w:szCs w:val="24"/>
        </w:rPr>
        <w:t xml:space="preserve">; </w:t>
      </w:r>
      <w:r w:rsidR="006C06C4" w:rsidRPr="002B552A">
        <w:rPr>
          <w:rFonts w:ascii="Times New Roman" w:hAnsi="Times New Roman" w:cs="Times New Roman"/>
          <w:sz w:val="24"/>
          <w:szCs w:val="24"/>
          <w:lang w:val="bg-BG"/>
        </w:rPr>
        <w:t xml:space="preserve">10) </w:t>
      </w:r>
      <w:r w:rsidR="00CD1FF1" w:rsidRPr="002B552A">
        <w:rPr>
          <w:rFonts w:ascii="Times New Roman" w:hAnsi="Times New Roman" w:cs="Times New Roman"/>
          <w:bCs/>
          <w:sz w:val="24"/>
          <w:szCs w:val="24"/>
        </w:rPr>
        <w:t>Improving the provision of English language, German language a</w:t>
      </w:r>
      <w:r w:rsidR="0024487E" w:rsidRPr="002B552A">
        <w:rPr>
          <w:rFonts w:ascii="Times New Roman" w:hAnsi="Times New Roman" w:cs="Times New Roman"/>
          <w:bCs/>
          <w:sz w:val="24"/>
          <w:szCs w:val="24"/>
        </w:rPr>
        <w:t>nd European studies in Bulgaria,</w:t>
      </w:r>
      <w:r w:rsidR="0024487E" w:rsidRPr="002B552A">
        <w:rPr>
          <w:rFonts w:ascii="Times New Roman" w:hAnsi="Times New Roman" w:cs="Times New Roman"/>
          <w:sz w:val="24"/>
          <w:szCs w:val="24"/>
        </w:rPr>
        <w:t xml:space="preserve"> </w:t>
      </w:r>
      <w:r w:rsidR="00CD1FF1" w:rsidRPr="002B552A">
        <w:rPr>
          <w:rFonts w:ascii="Times New Roman" w:hAnsi="Times New Roman" w:cs="Times New Roman"/>
          <w:sz w:val="24"/>
          <w:szCs w:val="24"/>
        </w:rPr>
        <w:t>Номер на договора:TEMPUS-JEP 7604</w:t>
      </w:r>
      <w:r w:rsidR="00CD1FF1" w:rsidRPr="002B552A">
        <w:rPr>
          <w:rFonts w:ascii="Times New Roman" w:hAnsi="Times New Roman" w:cs="Times New Roman"/>
          <w:sz w:val="24"/>
          <w:szCs w:val="24"/>
          <w:lang w:val="bg-BG"/>
        </w:rPr>
        <w:t>, 1998г.</w:t>
      </w:r>
    </w:p>
    <w:p w:rsidR="00950C4F" w:rsidRDefault="00950C4F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6E02" w:rsidRDefault="00E86E02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FF1" w:rsidRPr="00DF01F7" w:rsidRDefault="00CD1FF1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Заключение</w:t>
      </w:r>
    </w:p>
    <w:p w:rsidR="00CD1FF1" w:rsidRDefault="00C137BE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дфн</w:t>
      </w:r>
      <w:r w:rsidR="00CD1FF1">
        <w:rPr>
          <w:rFonts w:ascii="Times New Roman" w:hAnsi="Times New Roman" w:cs="Times New Roman"/>
          <w:sz w:val="24"/>
          <w:szCs w:val="24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Нели Тодорова Тинчева-Георгиева </w:t>
      </w:r>
      <w:r w:rsidR="00CD1FF1">
        <w:rPr>
          <w:rFonts w:ascii="Times New Roman" w:hAnsi="Times New Roman" w:cs="Times New Roman"/>
          <w:sz w:val="24"/>
          <w:szCs w:val="24"/>
        </w:rPr>
        <w:t>е изявен учен и преподавател, признат сред широк кръг от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</w:rPr>
        <w:t xml:space="preserve">чуждестранни и български специалисти в областта </w:t>
      </w:r>
      <w:r w:rsidR="007E501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CD1FF1">
        <w:rPr>
          <w:rFonts w:ascii="Times New Roman" w:hAnsi="Times New Roman" w:cs="Times New Roman"/>
          <w:sz w:val="24"/>
          <w:szCs w:val="24"/>
        </w:rPr>
        <w:t>текстовата лингвистика и анализа на дискурса.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</w:rPr>
        <w:t>Направеният анализ на представените от нея документи и материали за участие в конкурса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</w:rPr>
        <w:t>показва, че те напълно отговарят на изискванията на Закона за развитието на академичния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</w:rPr>
        <w:t>състав в Република България и Правилника за неговото прилагане, както и на Правилника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</w:rPr>
        <w:t xml:space="preserve">за условията и реда за заемане на академични длъжности в </w:t>
      </w:r>
      <w:r w:rsidR="00CD1FF1" w:rsidRPr="006B0A52">
        <w:rPr>
          <w:rFonts w:ascii="Times New Roman" w:hAnsi="Times New Roman" w:cs="Times New Roman"/>
          <w:sz w:val="23"/>
          <w:szCs w:val="23"/>
        </w:rPr>
        <w:t>СУ „Св. Климент Охридски”</w:t>
      </w:r>
      <w:r w:rsidR="00CD1FF1" w:rsidRPr="006B0A52">
        <w:rPr>
          <w:rFonts w:ascii="Times New Roman" w:hAnsi="Times New Roman" w:cs="Times New Roman"/>
          <w:sz w:val="24"/>
          <w:szCs w:val="24"/>
        </w:rPr>
        <w:t>.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</w:rPr>
        <w:t>Анализът и на Справката за изпълнението на минималните национални изисквания по чл.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</w:rPr>
        <w:t xml:space="preserve">2б от ЗРАСРБ показва, че кандидатът 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не само отговаря, но дори и </w:t>
      </w:r>
      <w:r w:rsidR="00CD1FF1">
        <w:rPr>
          <w:rFonts w:ascii="Times New Roman" w:hAnsi="Times New Roman" w:cs="Times New Roman"/>
          <w:sz w:val="24"/>
          <w:szCs w:val="24"/>
        </w:rPr>
        <w:t>надвишава тези изисквания. Този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</w:rPr>
        <w:t>неоспорим факт, научните приноси в областта на лингвистиката, както и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</w:rPr>
        <w:t>личната ми убеденост, ми дават основание да препоръчам на членовете на Научното жури</w:t>
      </w:r>
      <w:r w:rsidR="004A4F55">
        <w:rPr>
          <w:rFonts w:ascii="Times New Roman" w:hAnsi="Times New Roman" w:cs="Times New Roman"/>
          <w:sz w:val="24"/>
          <w:szCs w:val="24"/>
          <w:lang w:val="bg-BG"/>
        </w:rPr>
        <w:t xml:space="preserve"> да изберат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дфн</w:t>
      </w:r>
      <w:r w:rsidR="00CD1FF1">
        <w:rPr>
          <w:rFonts w:ascii="Times New Roman" w:hAnsi="Times New Roman" w:cs="Times New Roman"/>
          <w:sz w:val="24"/>
          <w:szCs w:val="24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Нели Тодорова Тинчева-Георгиева </w:t>
      </w:r>
      <w:r w:rsidR="00CD1FF1">
        <w:rPr>
          <w:rFonts w:ascii="Times New Roman" w:hAnsi="Times New Roman" w:cs="Times New Roman"/>
          <w:sz w:val="24"/>
          <w:szCs w:val="24"/>
        </w:rPr>
        <w:t>на</w:t>
      </w:r>
      <w:r w:rsidR="00CD1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FF1">
        <w:rPr>
          <w:rFonts w:ascii="Times New Roman" w:hAnsi="Times New Roman" w:cs="Times New Roman"/>
          <w:sz w:val="24"/>
          <w:szCs w:val="24"/>
        </w:rPr>
        <w:t xml:space="preserve">академичната длъжност „професор” по професионално направление </w:t>
      </w:r>
      <w:r w:rsidR="00CD1FF1" w:rsidRPr="006B0A52">
        <w:rPr>
          <w:rFonts w:ascii="Times New Roman" w:hAnsi="Times New Roman" w:cs="Times New Roman"/>
          <w:sz w:val="24"/>
          <w:szCs w:val="24"/>
        </w:rPr>
        <w:t>2.1 Филология (Когнитивна лингвистика – анализ на текст и дискурс (на английски език))</w:t>
      </w:r>
      <w:r w:rsidR="00CD1FF1">
        <w:rPr>
          <w:rFonts w:ascii="Times New Roman" w:hAnsi="Times New Roman" w:cs="Times New Roman"/>
          <w:sz w:val="24"/>
          <w:szCs w:val="24"/>
        </w:rPr>
        <w:t>.</w:t>
      </w:r>
    </w:p>
    <w:p w:rsidR="004A4F55" w:rsidRDefault="004A4F55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F55" w:rsidRPr="004A4F55" w:rsidRDefault="002C5026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</w:t>
      </w:r>
      <w:r w:rsidR="004A4F5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доц. д-р Росица Ишпекова</w:t>
      </w:r>
    </w:p>
    <w:p w:rsidR="00CF094F" w:rsidRPr="00CD1FF1" w:rsidRDefault="00CD1FF1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Verdana" w:hAnsi="Verdana" w:cs="Verdana"/>
          <w:color w:val="323232"/>
          <w:sz w:val="23"/>
          <w:szCs w:val="23"/>
          <w:lang w:val="bg-BG"/>
        </w:rPr>
        <w:t xml:space="preserve"> </w:t>
      </w:r>
    </w:p>
    <w:tbl>
      <w:tblPr>
        <w:tblW w:w="2697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1499"/>
        <w:gridCol w:w="1498"/>
        <w:gridCol w:w="2998"/>
        <w:gridCol w:w="4496"/>
        <w:gridCol w:w="4496"/>
        <w:gridCol w:w="4496"/>
        <w:gridCol w:w="4496"/>
      </w:tblGrid>
      <w:tr w:rsidR="00CD1FF1" w:rsidRPr="00CF094F" w:rsidTr="00CD1FF1">
        <w:trPr>
          <w:trHeight w:val="411"/>
        </w:trPr>
        <w:tc>
          <w:tcPr>
            <w:tcW w:w="4496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</w:tr>
      <w:tr w:rsidR="00CD1FF1" w:rsidRPr="00CF094F" w:rsidTr="00CD1FF1">
        <w:trPr>
          <w:trHeight w:val="849"/>
        </w:trPr>
        <w:tc>
          <w:tcPr>
            <w:tcW w:w="2997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2998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</w:tr>
      <w:tr w:rsidR="00CD1FF1" w:rsidRPr="00CF094F" w:rsidTr="00CD1FF1">
        <w:trPr>
          <w:trHeight w:val="265"/>
        </w:trPr>
        <w:tc>
          <w:tcPr>
            <w:tcW w:w="2997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2997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2998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</w:tr>
      <w:tr w:rsidR="00CD1FF1" w:rsidRPr="00CF094F" w:rsidTr="00CD1FF1">
        <w:trPr>
          <w:trHeight w:val="702"/>
        </w:trPr>
        <w:tc>
          <w:tcPr>
            <w:tcW w:w="2997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2997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2998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</w:tr>
      <w:tr w:rsidR="00CD1FF1" w:rsidRPr="00CF094F" w:rsidTr="00CD1FF1">
        <w:trPr>
          <w:trHeight w:val="702"/>
        </w:trPr>
        <w:tc>
          <w:tcPr>
            <w:tcW w:w="2997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2997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2998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</w:tr>
      <w:tr w:rsidR="00CD1FF1" w:rsidRPr="00CF094F" w:rsidTr="00CD1FF1">
        <w:trPr>
          <w:trHeight w:val="702"/>
        </w:trPr>
        <w:tc>
          <w:tcPr>
            <w:tcW w:w="2997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2997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2998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</w:tr>
      <w:tr w:rsidR="00CD1FF1" w:rsidRPr="00CF094F" w:rsidTr="00CD1FF1">
        <w:trPr>
          <w:trHeight w:val="411"/>
        </w:trPr>
        <w:tc>
          <w:tcPr>
            <w:tcW w:w="2997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2997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2998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</w:tr>
      <w:tr w:rsidR="00CD1FF1" w:rsidRPr="00CF094F" w:rsidTr="00CD1FF1">
        <w:trPr>
          <w:trHeight w:val="994"/>
        </w:trPr>
        <w:tc>
          <w:tcPr>
            <w:tcW w:w="2997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2997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2998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</w:tr>
      <w:tr w:rsidR="00CD1FF1" w:rsidRPr="00CF094F" w:rsidTr="00CD1FF1">
        <w:trPr>
          <w:trHeight w:val="411"/>
        </w:trPr>
        <w:tc>
          <w:tcPr>
            <w:tcW w:w="2997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2997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2998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</w:tr>
      <w:tr w:rsidR="00CD1FF1" w:rsidRPr="00CF094F" w:rsidTr="00CD1FF1">
        <w:trPr>
          <w:trHeight w:val="411"/>
        </w:trPr>
        <w:tc>
          <w:tcPr>
            <w:tcW w:w="2997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2997" w:type="dxa"/>
            <w:gridSpan w:val="2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CF094F">
              <w:rPr>
                <w:rFonts w:ascii="Verdana" w:hAnsi="Verdana" w:cs="Verdana"/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2998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  <w:tc>
          <w:tcPr>
            <w:tcW w:w="4496" w:type="dxa"/>
          </w:tcPr>
          <w:p w:rsidR="00CD1FF1" w:rsidRPr="00CF094F" w:rsidRDefault="00CD1FF1" w:rsidP="00E8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323232"/>
                <w:sz w:val="23"/>
                <w:szCs w:val="23"/>
              </w:rPr>
            </w:pPr>
          </w:p>
        </w:tc>
      </w:tr>
    </w:tbl>
    <w:p w:rsidR="00FA60B3" w:rsidRDefault="00FA60B3" w:rsidP="00E8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EAB5AD"/>
    <w:multiLevelType w:val="hybridMultilevel"/>
    <w:tmpl w:val="F6B890D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A200AF"/>
    <w:multiLevelType w:val="hybridMultilevel"/>
    <w:tmpl w:val="B1DA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1ED5"/>
    <w:multiLevelType w:val="hybridMultilevel"/>
    <w:tmpl w:val="094E94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1E41002"/>
    <w:multiLevelType w:val="hybridMultilevel"/>
    <w:tmpl w:val="DB22E2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2198D14"/>
    <w:multiLevelType w:val="hybridMultilevel"/>
    <w:tmpl w:val="2FAF3E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4B"/>
    <w:rsid w:val="000279A6"/>
    <w:rsid w:val="00042555"/>
    <w:rsid w:val="00095C1D"/>
    <w:rsid w:val="00125139"/>
    <w:rsid w:val="001C1028"/>
    <w:rsid w:val="0024487E"/>
    <w:rsid w:val="00285253"/>
    <w:rsid w:val="002B552A"/>
    <w:rsid w:val="002C5026"/>
    <w:rsid w:val="002C5F75"/>
    <w:rsid w:val="00316557"/>
    <w:rsid w:val="003622E3"/>
    <w:rsid w:val="003654BC"/>
    <w:rsid w:val="003C6986"/>
    <w:rsid w:val="003D491B"/>
    <w:rsid w:val="0043320D"/>
    <w:rsid w:val="004A4F55"/>
    <w:rsid w:val="004B5C56"/>
    <w:rsid w:val="004C75AB"/>
    <w:rsid w:val="00554956"/>
    <w:rsid w:val="00571375"/>
    <w:rsid w:val="00573E4B"/>
    <w:rsid w:val="005E5A25"/>
    <w:rsid w:val="006412C6"/>
    <w:rsid w:val="006B0A52"/>
    <w:rsid w:val="006C06C4"/>
    <w:rsid w:val="007B5B3D"/>
    <w:rsid w:val="007E1D69"/>
    <w:rsid w:val="007E42B8"/>
    <w:rsid w:val="007E501E"/>
    <w:rsid w:val="00891543"/>
    <w:rsid w:val="008E6BD4"/>
    <w:rsid w:val="00950C4F"/>
    <w:rsid w:val="00983B72"/>
    <w:rsid w:val="009C5044"/>
    <w:rsid w:val="009D315A"/>
    <w:rsid w:val="009E09C3"/>
    <w:rsid w:val="00A66404"/>
    <w:rsid w:val="00A8521E"/>
    <w:rsid w:val="00AA3E93"/>
    <w:rsid w:val="00B31807"/>
    <w:rsid w:val="00B334E3"/>
    <w:rsid w:val="00B64E7D"/>
    <w:rsid w:val="00B908A9"/>
    <w:rsid w:val="00B932C6"/>
    <w:rsid w:val="00C137BE"/>
    <w:rsid w:val="00CD1FF1"/>
    <w:rsid w:val="00CE1425"/>
    <w:rsid w:val="00CF094F"/>
    <w:rsid w:val="00DC701A"/>
    <w:rsid w:val="00DF01F7"/>
    <w:rsid w:val="00E33A4A"/>
    <w:rsid w:val="00E355B6"/>
    <w:rsid w:val="00E86E02"/>
    <w:rsid w:val="00EA4CF6"/>
    <w:rsid w:val="00ED6A80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5592E-7C6B-431D-99DF-A175C54F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</dc:creator>
  <cp:keywords/>
  <dc:description/>
  <cp:lastModifiedBy>iva</cp:lastModifiedBy>
  <cp:revision>2</cp:revision>
  <dcterms:created xsi:type="dcterms:W3CDTF">2023-06-23T08:27:00Z</dcterms:created>
  <dcterms:modified xsi:type="dcterms:W3CDTF">2023-06-23T08:27:00Z</dcterms:modified>
</cp:coreProperties>
</file>