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15" w:rsidRDefault="00EC7515" w:rsidP="00E93D41">
      <w:pPr>
        <w:spacing w:line="360" w:lineRule="auto"/>
        <w:jc w:val="both"/>
        <w:rPr>
          <w:b/>
          <w:sz w:val="28"/>
          <w:szCs w:val="28"/>
        </w:rPr>
      </w:pPr>
    </w:p>
    <w:p w:rsidR="00EC7515" w:rsidRDefault="00EC7515" w:rsidP="00E93D41">
      <w:pPr>
        <w:spacing w:line="360" w:lineRule="auto"/>
        <w:jc w:val="both"/>
        <w:rPr>
          <w:b/>
          <w:sz w:val="28"/>
          <w:szCs w:val="28"/>
        </w:rPr>
      </w:pPr>
    </w:p>
    <w:p w:rsidR="00EC7515" w:rsidRPr="001F1B0A" w:rsidRDefault="00EC7515" w:rsidP="00EC7515">
      <w:pPr>
        <w:spacing w:line="252" w:lineRule="auto"/>
        <w:jc w:val="center"/>
        <w:rPr>
          <w:rFonts w:cs="Times New Roman"/>
          <w:b/>
          <w:sz w:val="28"/>
          <w:szCs w:val="28"/>
        </w:rPr>
      </w:pPr>
      <w:r w:rsidRPr="001F1B0A">
        <w:rPr>
          <w:rFonts w:cs="Times New Roman"/>
          <w:b/>
          <w:sz w:val="28"/>
          <w:szCs w:val="28"/>
        </w:rPr>
        <w:t>Р</w:t>
      </w:r>
      <w:r w:rsidR="00094B64">
        <w:rPr>
          <w:rFonts w:cs="Times New Roman"/>
          <w:b/>
          <w:sz w:val="28"/>
          <w:szCs w:val="28"/>
        </w:rPr>
        <w:t xml:space="preserve"> </w:t>
      </w:r>
      <w:r w:rsidRPr="001F1B0A">
        <w:rPr>
          <w:rFonts w:cs="Times New Roman"/>
          <w:b/>
          <w:sz w:val="28"/>
          <w:szCs w:val="28"/>
        </w:rPr>
        <w:t>Е</w:t>
      </w:r>
      <w:r w:rsidR="00094B64">
        <w:rPr>
          <w:rFonts w:cs="Times New Roman"/>
          <w:b/>
          <w:sz w:val="28"/>
          <w:szCs w:val="28"/>
        </w:rPr>
        <w:t xml:space="preserve"> </w:t>
      </w:r>
      <w:r w:rsidRPr="001F1B0A">
        <w:rPr>
          <w:rFonts w:cs="Times New Roman"/>
          <w:b/>
          <w:sz w:val="28"/>
          <w:szCs w:val="28"/>
        </w:rPr>
        <w:t>Ц</w:t>
      </w:r>
      <w:r w:rsidR="00094B64">
        <w:rPr>
          <w:rFonts w:cs="Times New Roman"/>
          <w:b/>
          <w:sz w:val="28"/>
          <w:szCs w:val="28"/>
        </w:rPr>
        <w:t xml:space="preserve"> </w:t>
      </w:r>
      <w:r w:rsidRPr="001F1B0A">
        <w:rPr>
          <w:rFonts w:cs="Times New Roman"/>
          <w:b/>
          <w:sz w:val="28"/>
          <w:szCs w:val="28"/>
        </w:rPr>
        <w:t>Е</w:t>
      </w:r>
      <w:r w:rsidR="00094B64">
        <w:rPr>
          <w:rFonts w:cs="Times New Roman"/>
          <w:b/>
          <w:sz w:val="28"/>
          <w:szCs w:val="28"/>
        </w:rPr>
        <w:t xml:space="preserve"> </w:t>
      </w:r>
      <w:r w:rsidRPr="001F1B0A">
        <w:rPr>
          <w:rFonts w:cs="Times New Roman"/>
          <w:b/>
          <w:sz w:val="28"/>
          <w:szCs w:val="28"/>
        </w:rPr>
        <w:t>Н</w:t>
      </w:r>
      <w:r w:rsidR="00094B64">
        <w:rPr>
          <w:rFonts w:cs="Times New Roman"/>
          <w:b/>
          <w:sz w:val="28"/>
          <w:szCs w:val="28"/>
        </w:rPr>
        <w:t xml:space="preserve"> </w:t>
      </w:r>
      <w:r w:rsidRPr="001F1B0A">
        <w:rPr>
          <w:rFonts w:cs="Times New Roman"/>
          <w:b/>
          <w:sz w:val="28"/>
          <w:szCs w:val="28"/>
        </w:rPr>
        <w:t>З</w:t>
      </w:r>
      <w:r w:rsidR="00094B64">
        <w:rPr>
          <w:rFonts w:cs="Times New Roman"/>
          <w:b/>
          <w:sz w:val="28"/>
          <w:szCs w:val="28"/>
        </w:rPr>
        <w:t xml:space="preserve"> </w:t>
      </w:r>
      <w:r w:rsidRPr="001F1B0A">
        <w:rPr>
          <w:rFonts w:cs="Times New Roman"/>
          <w:b/>
          <w:sz w:val="28"/>
          <w:szCs w:val="28"/>
        </w:rPr>
        <w:t>И</w:t>
      </w:r>
      <w:r w:rsidR="00094B64">
        <w:rPr>
          <w:rFonts w:cs="Times New Roman"/>
          <w:b/>
          <w:sz w:val="28"/>
          <w:szCs w:val="28"/>
        </w:rPr>
        <w:t xml:space="preserve"> </w:t>
      </w:r>
      <w:r w:rsidRPr="001F1B0A">
        <w:rPr>
          <w:rFonts w:cs="Times New Roman"/>
          <w:b/>
          <w:sz w:val="28"/>
          <w:szCs w:val="28"/>
        </w:rPr>
        <w:t>Я</w:t>
      </w:r>
    </w:p>
    <w:p w:rsidR="00EC7515" w:rsidRPr="001F1B0A" w:rsidRDefault="00EC7515" w:rsidP="00EC7515">
      <w:pPr>
        <w:spacing w:line="252" w:lineRule="auto"/>
        <w:rPr>
          <w:rFonts w:cs="Times New Roman"/>
          <w:b/>
          <w:sz w:val="28"/>
          <w:szCs w:val="28"/>
        </w:rPr>
      </w:pPr>
    </w:p>
    <w:p w:rsidR="00094B64" w:rsidRDefault="00094B64" w:rsidP="00094B64">
      <w:pPr>
        <w:spacing w:line="360" w:lineRule="auto"/>
        <w:ind w:firstLine="0"/>
        <w:jc w:val="both"/>
        <w:rPr>
          <w:rFonts w:cs="Times New Roman"/>
          <w:sz w:val="28"/>
          <w:szCs w:val="28"/>
        </w:rPr>
      </w:pPr>
    </w:p>
    <w:p w:rsidR="00EC7515" w:rsidRPr="001F1B0A" w:rsidRDefault="00EC7515" w:rsidP="00094B64">
      <w:pPr>
        <w:ind w:firstLine="0"/>
        <w:jc w:val="both"/>
        <w:rPr>
          <w:rFonts w:cs="Times New Roman"/>
          <w:sz w:val="28"/>
          <w:szCs w:val="28"/>
        </w:rPr>
      </w:pPr>
      <w:r w:rsidRPr="001F1B0A">
        <w:rPr>
          <w:rFonts w:cs="Times New Roman"/>
          <w:sz w:val="28"/>
          <w:szCs w:val="28"/>
        </w:rPr>
        <w:t>от проф. д-р Веселин Костов Янчев</w:t>
      </w:r>
    </w:p>
    <w:p w:rsidR="00EC7515" w:rsidRPr="001F1B0A" w:rsidRDefault="00EC7515" w:rsidP="00094B64">
      <w:pPr>
        <w:ind w:firstLine="0"/>
        <w:jc w:val="both"/>
        <w:rPr>
          <w:rFonts w:cs="Times New Roman"/>
          <w:sz w:val="28"/>
          <w:szCs w:val="28"/>
        </w:rPr>
      </w:pPr>
      <w:r w:rsidRPr="001F1B0A">
        <w:rPr>
          <w:rFonts w:cs="Times New Roman"/>
          <w:sz w:val="28"/>
          <w:szCs w:val="28"/>
        </w:rPr>
        <w:t>Софийски университет „Св. Климент Охридски“</w:t>
      </w:r>
    </w:p>
    <w:p w:rsidR="00094B64" w:rsidRDefault="00EC7515" w:rsidP="00094B64">
      <w:pPr>
        <w:ind w:firstLine="0"/>
        <w:jc w:val="both"/>
        <w:rPr>
          <w:rFonts w:cs="Times New Roman"/>
          <w:sz w:val="28"/>
          <w:szCs w:val="28"/>
        </w:rPr>
      </w:pPr>
      <w:r w:rsidRPr="001F1B0A">
        <w:rPr>
          <w:rFonts w:cs="Times New Roman"/>
          <w:sz w:val="28"/>
          <w:szCs w:val="28"/>
        </w:rPr>
        <w:t xml:space="preserve">на научните трудове, представени по конкурса за заемане на академичната длъжност „доцент“, област на висшето образование </w:t>
      </w:r>
      <w:r>
        <w:rPr>
          <w:rFonts w:cs="Times New Roman"/>
          <w:sz w:val="28"/>
          <w:szCs w:val="28"/>
        </w:rPr>
        <w:t xml:space="preserve">2.2. </w:t>
      </w:r>
      <w:r w:rsidRPr="001F1B0A">
        <w:rPr>
          <w:rFonts w:cs="Times New Roman"/>
          <w:sz w:val="28"/>
          <w:szCs w:val="28"/>
        </w:rPr>
        <w:t xml:space="preserve">История и археология (Нова българска история (1878 - 1944) – </w:t>
      </w:r>
      <w:r w:rsidR="00094B64" w:rsidRPr="00094B64">
        <w:rPr>
          <w:rFonts w:cs="Times New Roman"/>
          <w:sz w:val="28"/>
          <w:szCs w:val="28"/>
        </w:rPr>
        <w:t xml:space="preserve">Електорални регулации и избори в България (първата половина на XX в.)), </w:t>
      </w:r>
    </w:p>
    <w:p w:rsidR="00094B64" w:rsidRDefault="00094B64" w:rsidP="00094B64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нуждите на Исторически факултет на СУ „Св. Климент Охридски“</w:t>
      </w:r>
    </w:p>
    <w:p w:rsidR="00094B64" w:rsidRPr="00094B64" w:rsidRDefault="00094B64" w:rsidP="00094B64">
      <w:pPr>
        <w:ind w:firstLine="0"/>
        <w:jc w:val="both"/>
        <w:rPr>
          <w:rFonts w:cs="Times New Roman"/>
          <w:sz w:val="28"/>
          <w:szCs w:val="28"/>
        </w:rPr>
      </w:pPr>
      <w:r w:rsidRPr="00094B64">
        <w:rPr>
          <w:rFonts w:cs="Times New Roman"/>
          <w:sz w:val="28"/>
          <w:szCs w:val="28"/>
        </w:rPr>
        <w:t>обявен в Държавен вестник, бр. 48 от 28.06.2022 г.</w:t>
      </w:r>
    </w:p>
    <w:p w:rsidR="00094B64" w:rsidRDefault="00094B64" w:rsidP="00094B64">
      <w:pPr>
        <w:ind w:firstLine="0"/>
        <w:jc w:val="both"/>
        <w:rPr>
          <w:rFonts w:cs="Times New Roman"/>
          <w:sz w:val="28"/>
          <w:szCs w:val="28"/>
        </w:rPr>
      </w:pPr>
    </w:p>
    <w:p w:rsidR="00094B64" w:rsidRDefault="00094B64" w:rsidP="00094B64">
      <w:pPr>
        <w:spacing w:line="360" w:lineRule="auto"/>
        <w:ind w:firstLine="0"/>
        <w:jc w:val="both"/>
        <w:rPr>
          <w:rFonts w:cs="Times New Roman"/>
          <w:sz w:val="28"/>
          <w:szCs w:val="28"/>
        </w:rPr>
      </w:pPr>
    </w:p>
    <w:p w:rsidR="00094B64" w:rsidRPr="005D4029" w:rsidRDefault="00094B64" w:rsidP="00094B64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5D4029">
        <w:rPr>
          <w:rFonts w:cs="Times New Roman"/>
          <w:sz w:val="28"/>
          <w:szCs w:val="28"/>
        </w:rPr>
        <w:t xml:space="preserve">За обявения конкурс документи е подал единствено гл. ас. д-р </w:t>
      </w:r>
      <w:r w:rsidR="0078211D" w:rsidRPr="005D4029">
        <w:rPr>
          <w:rFonts w:cs="Times New Roman"/>
          <w:sz w:val="28"/>
          <w:szCs w:val="28"/>
        </w:rPr>
        <w:t>Светослав Михайлов Живков</w:t>
      </w:r>
      <w:r w:rsidRPr="005D4029">
        <w:rPr>
          <w:rFonts w:cs="Times New Roman"/>
          <w:sz w:val="28"/>
          <w:szCs w:val="28"/>
        </w:rPr>
        <w:t>.</w:t>
      </w:r>
    </w:p>
    <w:p w:rsidR="002602FA" w:rsidRPr="005D4029" w:rsidRDefault="0078211D" w:rsidP="00094B64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5D4029">
        <w:rPr>
          <w:rFonts w:cs="Times New Roman"/>
          <w:sz w:val="28"/>
          <w:szCs w:val="28"/>
        </w:rPr>
        <w:t xml:space="preserve">Светослав Живков се дипломира през 2002 г. с отличен успех като магистър </w:t>
      </w:r>
      <w:r w:rsidR="00094B64" w:rsidRPr="005D4029">
        <w:rPr>
          <w:rFonts w:cs="Times New Roman"/>
          <w:sz w:val="28"/>
          <w:szCs w:val="28"/>
        </w:rPr>
        <w:t xml:space="preserve">в Историческия факултет на СУ „Св. Кл. Охридски“. </w:t>
      </w:r>
      <w:r w:rsidRPr="005D4029">
        <w:rPr>
          <w:rFonts w:cs="Times New Roman"/>
          <w:sz w:val="28"/>
          <w:szCs w:val="28"/>
        </w:rPr>
        <w:t xml:space="preserve">Паралелно следва специалност политология във </w:t>
      </w:r>
      <w:r w:rsidR="009E20C7" w:rsidRPr="005D4029">
        <w:rPr>
          <w:rFonts w:cs="Times New Roman"/>
          <w:sz w:val="28"/>
          <w:szCs w:val="28"/>
        </w:rPr>
        <w:t>Философския</w:t>
      </w:r>
      <w:r w:rsidRPr="005D4029">
        <w:rPr>
          <w:rFonts w:cs="Times New Roman"/>
          <w:sz w:val="28"/>
          <w:szCs w:val="28"/>
        </w:rPr>
        <w:t xml:space="preserve"> факултет, която завършва като бакалавър. </w:t>
      </w:r>
      <w:r w:rsidR="009E20C7" w:rsidRPr="005D4029">
        <w:rPr>
          <w:rFonts w:cs="Times New Roman"/>
          <w:sz w:val="28"/>
          <w:szCs w:val="28"/>
        </w:rPr>
        <w:t xml:space="preserve">Отбелязвам този факт, защото той сочи за целенасочен, ранно оформен интерес към политическата история и стремеж да бъде усвоен широк инструментариум, който да разшири възможностите му за нейното изследване и интерпретиране. Неговите намерения и научни амбиции са заявени по един категоричен начин в </w:t>
      </w:r>
      <w:r w:rsidR="0001309C" w:rsidRPr="005D4029">
        <w:rPr>
          <w:rFonts w:cs="Times New Roman"/>
          <w:sz w:val="28"/>
          <w:szCs w:val="28"/>
        </w:rPr>
        <w:t xml:space="preserve">докторската му дисертация, </w:t>
      </w:r>
      <w:r w:rsidR="002602FA" w:rsidRPr="005D4029">
        <w:rPr>
          <w:rFonts w:cs="Times New Roman"/>
          <w:sz w:val="28"/>
          <w:szCs w:val="28"/>
        </w:rPr>
        <w:t xml:space="preserve">защитена успешно през 2010 г. Тя е </w:t>
      </w:r>
      <w:r w:rsidR="0001309C" w:rsidRPr="005D4029">
        <w:rPr>
          <w:rFonts w:cs="Times New Roman"/>
          <w:sz w:val="28"/>
          <w:szCs w:val="28"/>
        </w:rPr>
        <w:t>посветена на една от ключовите политически партии в новата българска история – Прогресивнолибералната</w:t>
      </w:r>
      <w:r w:rsidR="002602FA" w:rsidRPr="005D4029">
        <w:rPr>
          <w:rFonts w:cs="Times New Roman"/>
          <w:sz w:val="28"/>
          <w:szCs w:val="28"/>
        </w:rPr>
        <w:t xml:space="preserve"> и проследява нейното развитие от създаването ѝ през </w:t>
      </w:r>
      <w:r w:rsidR="0001309C" w:rsidRPr="005D4029">
        <w:rPr>
          <w:rFonts w:cs="Times New Roman"/>
          <w:sz w:val="28"/>
          <w:szCs w:val="28"/>
        </w:rPr>
        <w:t>1899</w:t>
      </w:r>
      <w:r w:rsidR="002602FA" w:rsidRPr="005D4029">
        <w:rPr>
          <w:rFonts w:cs="Times New Roman"/>
          <w:sz w:val="28"/>
          <w:szCs w:val="28"/>
        </w:rPr>
        <w:t xml:space="preserve"> г. до 1915 г. </w:t>
      </w:r>
    </w:p>
    <w:p w:rsidR="009A79EC" w:rsidRPr="005D4029" w:rsidRDefault="00BF53F6" w:rsidP="009A79E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5D4029">
        <w:rPr>
          <w:rFonts w:cs="Times New Roman"/>
          <w:sz w:val="28"/>
          <w:szCs w:val="28"/>
        </w:rPr>
        <w:t>Другата страст на Светослав Живков е преподаването. След д</w:t>
      </w:r>
      <w:r w:rsidR="00914739" w:rsidRPr="005D4029">
        <w:rPr>
          <w:rFonts w:cs="Times New Roman"/>
          <w:sz w:val="28"/>
          <w:szCs w:val="28"/>
        </w:rPr>
        <w:t xml:space="preserve">ипломирането си той е учител в различни гимназии, от </w:t>
      </w:r>
      <w:r w:rsidR="002602FA" w:rsidRPr="005D4029">
        <w:rPr>
          <w:rFonts w:cs="Times New Roman"/>
          <w:sz w:val="28"/>
          <w:szCs w:val="28"/>
        </w:rPr>
        <w:t>2007 г. хоноруван асистент</w:t>
      </w:r>
      <w:r w:rsidR="00922DD5">
        <w:rPr>
          <w:rFonts w:cs="Times New Roman"/>
          <w:sz w:val="28"/>
          <w:szCs w:val="28"/>
        </w:rPr>
        <w:t xml:space="preserve">, от </w:t>
      </w:r>
      <w:r w:rsidR="002602FA" w:rsidRPr="005D4029">
        <w:rPr>
          <w:rFonts w:cs="Times New Roman"/>
          <w:sz w:val="28"/>
          <w:szCs w:val="28"/>
        </w:rPr>
        <w:t>2010 г. асистент, а от 2011 г. главен асистент</w:t>
      </w:r>
      <w:r w:rsidR="00922DD5">
        <w:rPr>
          <w:rFonts w:cs="Times New Roman"/>
          <w:sz w:val="28"/>
          <w:szCs w:val="28"/>
        </w:rPr>
        <w:t xml:space="preserve"> </w:t>
      </w:r>
      <w:r w:rsidR="00922DD5" w:rsidRPr="005D4029">
        <w:rPr>
          <w:rFonts w:cs="Times New Roman"/>
          <w:sz w:val="28"/>
          <w:szCs w:val="28"/>
        </w:rPr>
        <w:t xml:space="preserve">по Нова </w:t>
      </w:r>
      <w:r w:rsidR="00922DD5" w:rsidRPr="005D4029">
        <w:rPr>
          <w:rFonts w:cs="Times New Roman"/>
          <w:sz w:val="28"/>
          <w:szCs w:val="28"/>
        </w:rPr>
        <w:lastRenderedPageBreak/>
        <w:t xml:space="preserve">българска история в Историческия факултет на СУ „Св. Кл. Охридски“. </w:t>
      </w:r>
      <w:r w:rsidR="00914739" w:rsidRPr="005D4029">
        <w:rPr>
          <w:rFonts w:cs="Times New Roman"/>
          <w:sz w:val="28"/>
          <w:szCs w:val="28"/>
        </w:rPr>
        <w:t xml:space="preserve">Като </w:t>
      </w:r>
      <w:r w:rsidR="00922DD5">
        <w:rPr>
          <w:rFonts w:cs="Times New Roman"/>
          <w:sz w:val="28"/>
          <w:szCs w:val="28"/>
        </w:rPr>
        <w:t xml:space="preserve">асистент </w:t>
      </w:r>
      <w:r w:rsidR="00914739" w:rsidRPr="005D4029">
        <w:rPr>
          <w:rFonts w:cs="Times New Roman"/>
          <w:sz w:val="28"/>
          <w:szCs w:val="28"/>
        </w:rPr>
        <w:t xml:space="preserve"> той </w:t>
      </w:r>
      <w:r w:rsidR="00094B64" w:rsidRPr="005D4029">
        <w:rPr>
          <w:rFonts w:cs="Times New Roman"/>
          <w:sz w:val="28"/>
          <w:szCs w:val="28"/>
        </w:rPr>
        <w:t>води семинарни занятия, лекц</w:t>
      </w:r>
      <w:r w:rsidR="00914739" w:rsidRPr="005D4029">
        <w:rPr>
          <w:rFonts w:cs="Times New Roman"/>
          <w:sz w:val="28"/>
          <w:szCs w:val="28"/>
        </w:rPr>
        <w:t xml:space="preserve">ии и специализирани курсове. </w:t>
      </w:r>
    </w:p>
    <w:p w:rsidR="002A7709" w:rsidRPr="005D4029" w:rsidRDefault="00914739" w:rsidP="009A79E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5D4029">
        <w:rPr>
          <w:rFonts w:cs="Times New Roman"/>
          <w:sz w:val="28"/>
          <w:szCs w:val="28"/>
        </w:rPr>
        <w:t xml:space="preserve">Много бързо д-р Живков се </w:t>
      </w:r>
      <w:r w:rsidR="00094B64" w:rsidRPr="005D4029">
        <w:rPr>
          <w:rFonts w:cs="Times New Roman"/>
          <w:sz w:val="28"/>
          <w:szCs w:val="28"/>
        </w:rPr>
        <w:t>утвърд</w:t>
      </w:r>
      <w:r w:rsidRPr="005D4029">
        <w:rPr>
          <w:rFonts w:cs="Times New Roman"/>
          <w:sz w:val="28"/>
          <w:szCs w:val="28"/>
        </w:rPr>
        <w:t xml:space="preserve">и </w:t>
      </w:r>
      <w:r w:rsidR="00094B64" w:rsidRPr="005D4029">
        <w:rPr>
          <w:rFonts w:cs="Times New Roman"/>
          <w:sz w:val="28"/>
          <w:szCs w:val="28"/>
        </w:rPr>
        <w:t>като компетентен и авторитетен преподавател</w:t>
      </w:r>
      <w:r w:rsidR="009A79EC" w:rsidRPr="005D4029">
        <w:rPr>
          <w:rFonts w:cs="Times New Roman"/>
          <w:sz w:val="28"/>
          <w:szCs w:val="28"/>
        </w:rPr>
        <w:t xml:space="preserve"> и лектор</w:t>
      </w:r>
      <w:r w:rsidRPr="005D4029">
        <w:rPr>
          <w:rFonts w:cs="Times New Roman"/>
          <w:sz w:val="28"/>
          <w:szCs w:val="28"/>
        </w:rPr>
        <w:t xml:space="preserve"> и като </w:t>
      </w:r>
      <w:r w:rsidR="00094B64" w:rsidRPr="005D4029">
        <w:rPr>
          <w:rFonts w:cs="Times New Roman"/>
          <w:sz w:val="28"/>
          <w:szCs w:val="28"/>
        </w:rPr>
        <w:t xml:space="preserve">активен участник и организатор на научния живот в Исторически факултет и в Университета. Той е </w:t>
      </w:r>
      <w:r w:rsidR="00566FBE" w:rsidRPr="005D4029">
        <w:rPr>
          <w:rFonts w:cs="Times New Roman"/>
          <w:sz w:val="28"/>
          <w:szCs w:val="28"/>
        </w:rPr>
        <w:t xml:space="preserve">научен ръководител, консултант и рецензент на магистърски </w:t>
      </w:r>
      <w:r w:rsidR="009A79EC" w:rsidRPr="005D4029">
        <w:rPr>
          <w:rFonts w:cs="Times New Roman"/>
          <w:sz w:val="28"/>
          <w:szCs w:val="28"/>
        </w:rPr>
        <w:t xml:space="preserve">тези и дипломни работи и академичен наставник на студентски практики. </w:t>
      </w:r>
      <w:r w:rsidR="00E627A0" w:rsidRPr="005D4029">
        <w:rPr>
          <w:rFonts w:cs="Times New Roman"/>
          <w:sz w:val="28"/>
          <w:szCs w:val="28"/>
        </w:rPr>
        <w:t>Административните му способности се проявяват ка</w:t>
      </w:r>
      <w:r w:rsidR="00922DD5">
        <w:rPr>
          <w:rFonts w:cs="Times New Roman"/>
          <w:sz w:val="28"/>
          <w:szCs w:val="28"/>
        </w:rPr>
        <w:t>к</w:t>
      </w:r>
      <w:r w:rsidR="00E627A0" w:rsidRPr="005D4029">
        <w:rPr>
          <w:rFonts w:cs="Times New Roman"/>
          <w:sz w:val="28"/>
          <w:szCs w:val="28"/>
        </w:rPr>
        <w:t xml:space="preserve">то в участие в различни комисии, така и в подготовката и обезпечаването на редица научни форуми, конференции, обучения. Заслужава да </w:t>
      </w:r>
      <w:r w:rsidR="008E49EB">
        <w:rPr>
          <w:rFonts w:cs="Times New Roman"/>
          <w:sz w:val="28"/>
          <w:szCs w:val="28"/>
        </w:rPr>
        <w:t>се отбележи, че Живков бе член</w:t>
      </w:r>
      <w:r w:rsidR="00E627A0" w:rsidRPr="005D4029">
        <w:rPr>
          <w:rFonts w:cs="Times New Roman"/>
          <w:sz w:val="28"/>
          <w:szCs w:val="28"/>
        </w:rPr>
        <w:t xml:space="preserve"> на екипа, подготвил едно най-мащабните в последните години научно събитие – Третия международен конгрес по българистика през 2013 г. и един от организаторите на традиционните „Кюстендилски четения“, съв</w:t>
      </w:r>
      <w:r w:rsidR="002A7709" w:rsidRPr="005D4029">
        <w:rPr>
          <w:rFonts w:cs="Times New Roman"/>
          <w:sz w:val="28"/>
          <w:szCs w:val="28"/>
        </w:rPr>
        <w:t>м</w:t>
      </w:r>
      <w:r w:rsidR="00E627A0" w:rsidRPr="005D4029">
        <w:rPr>
          <w:rFonts w:cs="Times New Roman"/>
          <w:sz w:val="28"/>
          <w:szCs w:val="28"/>
        </w:rPr>
        <w:t xml:space="preserve">естно с Регионалния исторически музей „Академик Йордан Иванов“. В тези, както и в редица други </w:t>
      </w:r>
      <w:r w:rsidR="002A7709" w:rsidRPr="005D4029">
        <w:rPr>
          <w:rFonts w:cs="Times New Roman"/>
          <w:sz w:val="28"/>
          <w:szCs w:val="28"/>
        </w:rPr>
        <w:t>национални и международни конференции</w:t>
      </w:r>
      <w:r w:rsidR="008E49EB">
        <w:rPr>
          <w:rFonts w:cs="Times New Roman"/>
          <w:sz w:val="28"/>
          <w:szCs w:val="28"/>
        </w:rPr>
        <w:t>,</w:t>
      </w:r>
      <w:r w:rsidR="00E627A0" w:rsidRPr="005D4029">
        <w:rPr>
          <w:rFonts w:cs="Times New Roman"/>
          <w:sz w:val="28"/>
          <w:szCs w:val="28"/>
        </w:rPr>
        <w:t xml:space="preserve"> д-р Живков участва със задълбочени и едновременно с това интригув</w:t>
      </w:r>
      <w:r w:rsidR="002C5A98" w:rsidRPr="005D4029">
        <w:rPr>
          <w:rFonts w:cs="Times New Roman"/>
          <w:sz w:val="28"/>
          <w:szCs w:val="28"/>
        </w:rPr>
        <w:t xml:space="preserve">ащи и атрактивни научни доклади, в съставянето и редактирането на научни сборници и публикации.  </w:t>
      </w:r>
      <w:r w:rsidR="002A7709" w:rsidRPr="005D4029">
        <w:rPr>
          <w:rFonts w:cs="Times New Roman"/>
          <w:sz w:val="28"/>
          <w:szCs w:val="28"/>
        </w:rPr>
        <w:t>Той е координатор и участник в 7 научни и образователни проекта</w:t>
      </w:r>
      <w:r w:rsidR="002C5A98" w:rsidRPr="005D4029">
        <w:rPr>
          <w:rFonts w:cs="Times New Roman"/>
          <w:sz w:val="28"/>
          <w:szCs w:val="28"/>
        </w:rPr>
        <w:t>, т</w:t>
      </w:r>
      <w:r w:rsidR="002A7709" w:rsidRPr="005D4029">
        <w:rPr>
          <w:rFonts w:cs="Times New Roman"/>
          <w:sz w:val="28"/>
          <w:szCs w:val="28"/>
        </w:rPr>
        <w:t>ърсен консултант и експер</w:t>
      </w:r>
      <w:r w:rsidR="008E49EB">
        <w:rPr>
          <w:rFonts w:cs="Times New Roman"/>
          <w:sz w:val="28"/>
          <w:szCs w:val="28"/>
        </w:rPr>
        <w:t>т от м</w:t>
      </w:r>
      <w:r w:rsidR="002A7709" w:rsidRPr="005D4029">
        <w:rPr>
          <w:rFonts w:cs="Times New Roman"/>
          <w:sz w:val="28"/>
          <w:szCs w:val="28"/>
        </w:rPr>
        <w:t>инистерството на образованието и науката</w:t>
      </w:r>
      <w:r w:rsidR="002C5A98" w:rsidRPr="005D4029">
        <w:rPr>
          <w:rFonts w:cs="Times New Roman"/>
          <w:sz w:val="28"/>
          <w:szCs w:val="28"/>
        </w:rPr>
        <w:t xml:space="preserve">, </w:t>
      </w:r>
      <w:r w:rsidR="00922DD5">
        <w:rPr>
          <w:rFonts w:cs="Times New Roman"/>
          <w:sz w:val="28"/>
          <w:szCs w:val="28"/>
        </w:rPr>
        <w:t xml:space="preserve">от </w:t>
      </w:r>
      <w:r w:rsidR="002C5A98" w:rsidRPr="005D4029">
        <w:rPr>
          <w:rFonts w:cs="Times New Roman"/>
          <w:sz w:val="28"/>
          <w:szCs w:val="28"/>
        </w:rPr>
        <w:t xml:space="preserve">обществени и политически организации. През годините д-р Св. Живков се изяви като един от основните популяризатори на исторически знания и коментатор на политическите и електорални прояви на българското </w:t>
      </w:r>
      <w:r w:rsidR="008E49EB" w:rsidRPr="008E49EB">
        <w:rPr>
          <w:rFonts w:cs="Times New Roman"/>
          <w:sz w:val="28"/>
          <w:szCs w:val="28"/>
          <w:lang w:val="ru-RU"/>
        </w:rPr>
        <w:t>(</w:t>
      </w:r>
      <w:r w:rsidR="00922DD5">
        <w:rPr>
          <w:rFonts w:cs="Times New Roman"/>
          <w:sz w:val="28"/>
          <w:szCs w:val="28"/>
        </w:rPr>
        <w:t>и не само</w:t>
      </w:r>
      <w:r w:rsidR="008E49EB" w:rsidRPr="008E49EB">
        <w:rPr>
          <w:rFonts w:cs="Times New Roman"/>
          <w:sz w:val="28"/>
          <w:szCs w:val="28"/>
          <w:lang w:val="ru-RU"/>
        </w:rPr>
        <w:t>)</w:t>
      </w:r>
      <w:r w:rsidR="00922DD5">
        <w:rPr>
          <w:rFonts w:cs="Times New Roman"/>
          <w:sz w:val="28"/>
          <w:szCs w:val="28"/>
        </w:rPr>
        <w:t xml:space="preserve"> </w:t>
      </w:r>
      <w:r w:rsidR="002C5A98" w:rsidRPr="005D4029">
        <w:rPr>
          <w:rFonts w:cs="Times New Roman"/>
          <w:sz w:val="28"/>
          <w:szCs w:val="28"/>
        </w:rPr>
        <w:t xml:space="preserve">общество. </w:t>
      </w:r>
    </w:p>
    <w:p w:rsidR="00EC7515" w:rsidRPr="005D4029" w:rsidRDefault="002C5A98" w:rsidP="00251FAC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  <w:r w:rsidRPr="005D4029">
        <w:rPr>
          <w:sz w:val="28"/>
          <w:szCs w:val="28"/>
          <w:lang w:val="bg-BG"/>
        </w:rPr>
        <w:t xml:space="preserve">Всички тези изяви имат за своя основа една много </w:t>
      </w:r>
      <w:r w:rsidR="00094B64" w:rsidRPr="005D4029">
        <w:rPr>
          <w:sz w:val="28"/>
          <w:szCs w:val="28"/>
          <w:lang w:val="bg-BG"/>
        </w:rPr>
        <w:t>сериозна научноизследователска работа</w:t>
      </w:r>
      <w:r w:rsidR="00AE5984" w:rsidRPr="005D4029">
        <w:rPr>
          <w:sz w:val="28"/>
          <w:szCs w:val="28"/>
          <w:lang w:val="bg-BG"/>
        </w:rPr>
        <w:t xml:space="preserve"> с широк хронологически и проблемен обхват, </w:t>
      </w:r>
      <w:r w:rsidR="00094B64" w:rsidRPr="005D4029">
        <w:rPr>
          <w:sz w:val="28"/>
          <w:szCs w:val="28"/>
          <w:lang w:val="bg-BG"/>
        </w:rPr>
        <w:t>изразява</w:t>
      </w:r>
      <w:r w:rsidR="00AE5984" w:rsidRPr="005D4029">
        <w:rPr>
          <w:sz w:val="28"/>
          <w:szCs w:val="28"/>
          <w:lang w:val="bg-BG"/>
        </w:rPr>
        <w:t xml:space="preserve">ща се </w:t>
      </w:r>
      <w:r w:rsidR="00094B64" w:rsidRPr="005D4029">
        <w:rPr>
          <w:sz w:val="28"/>
          <w:szCs w:val="28"/>
          <w:lang w:val="bg-BG"/>
        </w:rPr>
        <w:t xml:space="preserve">в </w:t>
      </w:r>
      <w:r w:rsidRPr="005D4029">
        <w:rPr>
          <w:sz w:val="28"/>
          <w:szCs w:val="28"/>
          <w:lang w:val="bg-BG"/>
        </w:rPr>
        <w:t>2</w:t>
      </w:r>
      <w:r w:rsidR="00AE5984" w:rsidRPr="005D4029">
        <w:rPr>
          <w:sz w:val="28"/>
          <w:szCs w:val="28"/>
          <w:lang w:val="bg-BG"/>
        </w:rPr>
        <w:t>7 научни публикации</w:t>
      </w:r>
      <w:r w:rsidR="00094B64" w:rsidRPr="005D4029">
        <w:rPr>
          <w:sz w:val="28"/>
          <w:szCs w:val="28"/>
          <w:lang w:val="bg-BG"/>
        </w:rPr>
        <w:t xml:space="preserve"> </w:t>
      </w:r>
      <w:r w:rsidR="00AE5984" w:rsidRPr="005D4029">
        <w:rPr>
          <w:sz w:val="28"/>
          <w:szCs w:val="28"/>
          <w:lang w:val="bg-BG"/>
        </w:rPr>
        <w:t xml:space="preserve">– </w:t>
      </w:r>
      <w:r w:rsidR="00094B64" w:rsidRPr="005D4029">
        <w:rPr>
          <w:sz w:val="28"/>
          <w:szCs w:val="28"/>
          <w:lang w:val="bg-BG"/>
        </w:rPr>
        <w:t>монографии</w:t>
      </w:r>
      <w:r w:rsidR="00AE5984" w:rsidRPr="005D4029">
        <w:rPr>
          <w:sz w:val="28"/>
          <w:szCs w:val="28"/>
          <w:lang w:val="bg-BG"/>
        </w:rPr>
        <w:t xml:space="preserve">, </w:t>
      </w:r>
      <w:r w:rsidR="00094B64" w:rsidRPr="005D4029">
        <w:rPr>
          <w:sz w:val="28"/>
          <w:szCs w:val="28"/>
          <w:lang w:val="bg-BG"/>
        </w:rPr>
        <w:t>студии и статии.</w:t>
      </w:r>
      <w:r w:rsidR="00247750" w:rsidRPr="005D4029">
        <w:rPr>
          <w:sz w:val="28"/>
          <w:szCs w:val="28"/>
          <w:lang w:val="bg-BG"/>
        </w:rPr>
        <w:t xml:space="preserve"> </w:t>
      </w:r>
      <w:r w:rsidR="00AE5984" w:rsidRPr="005D4029">
        <w:rPr>
          <w:sz w:val="28"/>
          <w:szCs w:val="28"/>
          <w:lang w:val="bg-BG"/>
        </w:rPr>
        <w:t xml:space="preserve">За участие в конкурса </w:t>
      </w:r>
      <w:r w:rsidR="00D11A71" w:rsidRPr="005D4029">
        <w:rPr>
          <w:sz w:val="28"/>
          <w:szCs w:val="28"/>
          <w:lang w:val="bg-BG"/>
        </w:rPr>
        <w:t xml:space="preserve">за доцент кандидатът </w:t>
      </w:r>
      <w:r w:rsidR="00AE5984" w:rsidRPr="005D4029">
        <w:rPr>
          <w:sz w:val="28"/>
          <w:szCs w:val="28"/>
          <w:lang w:val="bg-BG"/>
        </w:rPr>
        <w:t>представ</w:t>
      </w:r>
      <w:r w:rsidR="00D11A71" w:rsidRPr="005D4029">
        <w:rPr>
          <w:sz w:val="28"/>
          <w:szCs w:val="28"/>
          <w:lang w:val="bg-BG"/>
        </w:rPr>
        <w:t xml:space="preserve">я </w:t>
      </w:r>
      <w:r w:rsidR="00AE5984" w:rsidRPr="005D4029">
        <w:rPr>
          <w:sz w:val="28"/>
          <w:szCs w:val="28"/>
          <w:lang w:val="bg-BG"/>
        </w:rPr>
        <w:t xml:space="preserve">2 </w:t>
      </w:r>
      <w:r w:rsidR="00AE5984" w:rsidRPr="005D4029">
        <w:rPr>
          <w:sz w:val="28"/>
          <w:szCs w:val="28"/>
          <w:lang w:val="bg-BG"/>
        </w:rPr>
        <w:lastRenderedPageBreak/>
        <w:t xml:space="preserve">монографии и 13 студии и статии, които </w:t>
      </w:r>
      <w:r w:rsidR="00251FAC" w:rsidRPr="005D4029">
        <w:rPr>
          <w:sz w:val="28"/>
          <w:szCs w:val="28"/>
          <w:lang w:val="bg-BG"/>
        </w:rPr>
        <w:t xml:space="preserve">не повтарят използваните за придобиване на образователната и научна степен ,,доктор“. Те не </w:t>
      </w:r>
      <w:r w:rsidR="00AE5984" w:rsidRPr="005D4029">
        <w:rPr>
          <w:sz w:val="28"/>
          <w:szCs w:val="28"/>
          <w:lang w:val="bg-BG"/>
        </w:rPr>
        <w:t xml:space="preserve">само покриват, а надвишават заложените </w:t>
      </w:r>
      <w:r w:rsidR="00D11A71" w:rsidRPr="005D4029">
        <w:rPr>
          <w:sz w:val="28"/>
          <w:szCs w:val="28"/>
          <w:lang w:val="bg-BG"/>
        </w:rPr>
        <w:t xml:space="preserve">минимални научни </w:t>
      </w:r>
      <w:r w:rsidR="00AE5984" w:rsidRPr="005D4029">
        <w:rPr>
          <w:sz w:val="28"/>
          <w:szCs w:val="28"/>
          <w:lang w:val="bg-BG"/>
        </w:rPr>
        <w:t xml:space="preserve">изисквания в </w:t>
      </w:r>
      <w:r w:rsidR="00D11A71" w:rsidRPr="005D4029">
        <w:rPr>
          <w:sz w:val="28"/>
          <w:szCs w:val="28"/>
          <w:lang w:val="bg-BG"/>
        </w:rPr>
        <w:t xml:space="preserve">действащия </w:t>
      </w:r>
      <w:r w:rsidR="00AE5984" w:rsidRPr="005D4029">
        <w:rPr>
          <w:sz w:val="28"/>
          <w:szCs w:val="28"/>
          <w:lang w:val="bg-BG"/>
        </w:rPr>
        <w:t>Закон за развитие на академичния състав на Република България и Правилника за неговото приложени</w:t>
      </w:r>
      <w:r w:rsidR="008E49EB">
        <w:rPr>
          <w:sz w:val="28"/>
          <w:szCs w:val="28"/>
          <w:lang w:val="bg-BG"/>
        </w:rPr>
        <w:t>е</w:t>
      </w:r>
      <w:r w:rsidR="00AE5984" w:rsidRPr="005D4029">
        <w:rPr>
          <w:sz w:val="28"/>
          <w:szCs w:val="28"/>
          <w:lang w:val="bg-BG"/>
        </w:rPr>
        <w:t xml:space="preserve">. </w:t>
      </w:r>
      <w:r w:rsidR="00D11A71" w:rsidRPr="005D4029">
        <w:rPr>
          <w:sz w:val="28"/>
          <w:szCs w:val="28"/>
          <w:lang w:val="bg-BG"/>
        </w:rPr>
        <w:t xml:space="preserve">При необходими 400 точки са приложени доказателства за </w:t>
      </w:r>
      <w:r w:rsidR="00094B64" w:rsidRPr="005D4029">
        <w:rPr>
          <w:sz w:val="28"/>
          <w:szCs w:val="28"/>
          <w:lang w:val="bg-BG"/>
        </w:rPr>
        <w:t>465 точки</w:t>
      </w:r>
      <w:r w:rsidR="00D11A71" w:rsidRPr="005D4029">
        <w:rPr>
          <w:sz w:val="28"/>
          <w:szCs w:val="28"/>
          <w:lang w:val="bg-BG"/>
        </w:rPr>
        <w:t xml:space="preserve">. </w:t>
      </w:r>
      <w:r w:rsidR="00432812" w:rsidRPr="005D4029">
        <w:rPr>
          <w:sz w:val="28"/>
          <w:szCs w:val="28"/>
          <w:lang w:val="bg-BG"/>
        </w:rPr>
        <w:t>Значителният брой</w:t>
      </w:r>
      <w:r w:rsidR="002B5164" w:rsidRPr="005D4029">
        <w:rPr>
          <w:sz w:val="28"/>
          <w:szCs w:val="28"/>
          <w:lang w:val="bg-BG"/>
        </w:rPr>
        <w:t>, 25</w:t>
      </w:r>
      <w:r w:rsidR="00432812" w:rsidRPr="005D4029">
        <w:rPr>
          <w:sz w:val="28"/>
          <w:szCs w:val="28"/>
          <w:lang w:val="bg-BG"/>
        </w:rPr>
        <w:t xml:space="preserve"> </w:t>
      </w:r>
      <w:r w:rsidR="00EC7515" w:rsidRPr="005D4029">
        <w:rPr>
          <w:sz w:val="28"/>
          <w:szCs w:val="28"/>
          <w:lang w:val="bg-BG"/>
        </w:rPr>
        <w:t>цитирания</w:t>
      </w:r>
      <w:r w:rsidR="00922DD5">
        <w:rPr>
          <w:sz w:val="28"/>
          <w:szCs w:val="28"/>
          <w:lang w:val="bg-BG"/>
        </w:rPr>
        <w:t>,</w:t>
      </w:r>
      <w:r w:rsidR="00EC7515" w:rsidRPr="005D4029">
        <w:rPr>
          <w:sz w:val="28"/>
          <w:szCs w:val="28"/>
          <w:lang w:val="bg-BG"/>
        </w:rPr>
        <w:t xml:space="preserve"> в най-голяма степен свидетелства, че изследванията на д-р </w:t>
      </w:r>
      <w:r w:rsidR="00432812" w:rsidRPr="005D4029">
        <w:rPr>
          <w:sz w:val="28"/>
          <w:szCs w:val="28"/>
          <w:lang w:val="bg-BG"/>
        </w:rPr>
        <w:t xml:space="preserve">Живков </w:t>
      </w:r>
      <w:r w:rsidR="00EC7515" w:rsidRPr="005D4029">
        <w:rPr>
          <w:sz w:val="28"/>
          <w:szCs w:val="28"/>
          <w:lang w:val="bg-BG"/>
        </w:rPr>
        <w:t>са популярни, търсени и използвани от научната общност</w:t>
      </w:r>
      <w:r w:rsidR="00432812" w:rsidRPr="005D4029">
        <w:rPr>
          <w:sz w:val="28"/>
          <w:szCs w:val="28"/>
          <w:lang w:val="bg-BG"/>
        </w:rPr>
        <w:t xml:space="preserve">, както в страната, така и извън нея. </w:t>
      </w:r>
    </w:p>
    <w:p w:rsidR="00EC7515" w:rsidRPr="005D4029" w:rsidRDefault="003559F8" w:rsidP="00EC7515">
      <w:pPr>
        <w:pStyle w:val="a3"/>
        <w:spacing w:line="360" w:lineRule="auto"/>
        <w:ind w:firstLine="720"/>
        <w:jc w:val="both"/>
        <w:rPr>
          <w:sz w:val="28"/>
          <w:szCs w:val="28"/>
          <w:lang w:val="bg-BG"/>
        </w:rPr>
      </w:pPr>
      <w:r w:rsidRPr="005D4029">
        <w:rPr>
          <w:sz w:val="28"/>
          <w:szCs w:val="28"/>
          <w:lang w:val="bg-BG"/>
        </w:rPr>
        <w:t>Представената научна продукция у</w:t>
      </w:r>
      <w:r w:rsidR="00EC7515" w:rsidRPr="005D4029">
        <w:rPr>
          <w:sz w:val="28"/>
          <w:szCs w:val="28"/>
          <w:lang w:val="bg-BG"/>
        </w:rPr>
        <w:t xml:space="preserve">словно </w:t>
      </w:r>
      <w:r w:rsidRPr="005D4029">
        <w:rPr>
          <w:sz w:val="28"/>
          <w:szCs w:val="28"/>
          <w:lang w:val="bg-BG"/>
        </w:rPr>
        <w:t xml:space="preserve">може </w:t>
      </w:r>
      <w:r w:rsidR="00EC7515" w:rsidRPr="005D4029">
        <w:rPr>
          <w:sz w:val="28"/>
          <w:szCs w:val="28"/>
          <w:lang w:val="bg-BG"/>
        </w:rPr>
        <w:t>да</w:t>
      </w:r>
      <w:r w:rsidRPr="005D4029">
        <w:rPr>
          <w:sz w:val="28"/>
          <w:szCs w:val="28"/>
          <w:lang w:val="bg-BG"/>
        </w:rPr>
        <w:t xml:space="preserve"> бъде р</w:t>
      </w:r>
      <w:r w:rsidR="00432812" w:rsidRPr="005D4029">
        <w:rPr>
          <w:sz w:val="28"/>
          <w:szCs w:val="28"/>
          <w:lang w:val="bg-BG"/>
        </w:rPr>
        <w:t>азделен</w:t>
      </w:r>
      <w:r w:rsidRPr="005D4029">
        <w:rPr>
          <w:sz w:val="28"/>
          <w:szCs w:val="28"/>
          <w:lang w:val="bg-BG"/>
        </w:rPr>
        <w:t xml:space="preserve">а </w:t>
      </w:r>
      <w:r w:rsidR="00432812" w:rsidRPr="005D4029">
        <w:rPr>
          <w:sz w:val="28"/>
          <w:szCs w:val="28"/>
          <w:lang w:val="bg-BG"/>
        </w:rPr>
        <w:t>в 3</w:t>
      </w:r>
      <w:r w:rsidR="00EC7515" w:rsidRPr="005D4029">
        <w:rPr>
          <w:sz w:val="28"/>
          <w:szCs w:val="28"/>
          <w:lang w:val="bg-BG"/>
        </w:rPr>
        <w:t xml:space="preserve"> категории:</w:t>
      </w:r>
    </w:p>
    <w:p w:rsidR="004B5E95" w:rsidRPr="005D4029" w:rsidRDefault="00EC7515" w:rsidP="004B5E95">
      <w:pPr>
        <w:pStyle w:val="a3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bg-BG"/>
        </w:rPr>
      </w:pPr>
      <w:r w:rsidRPr="005D4029">
        <w:rPr>
          <w:i/>
          <w:sz w:val="28"/>
          <w:szCs w:val="28"/>
          <w:lang w:val="bg-BG"/>
        </w:rPr>
        <w:t>Публикации, свързани с проблематиката на дисертационния труд</w:t>
      </w:r>
    </w:p>
    <w:p w:rsidR="003559F8" w:rsidRPr="005D4029" w:rsidRDefault="00E17546" w:rsidP="00E17546">
      <w:pPr>
        <w:pStyle w:val="a3"/>
        <w:spacing w:line="360" w:lineRule="auto"/>
        <w:ind w:firstLine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0962C1" w:rsidRPr="005D4029">
        <w:rPr>
          <w:sz w:val="28"/>
          <w:szCs w:val="28"/>
          <w:lang w:val="bg-BG"/>
        </w:rPr>
        <w:t>След защитата на своя</w:t>
      </w:r>
      <w:r w:rsidR="00922DD5">
        <w:rPr>
          <w:sz w:val="28"/>
          <w:szCs w:val="28"/>
          <w:lang w:val="bg-BG"/>
        </w:rPr>
        <w:t>та докторска д</w:t>
      </w:r>
      <w:r w:rsidR="000962C1" w:rsidRPr="005D4029">
        <w:rPr>
          <w:sz w:val="28"/>
          <w:szCs w:val="28"/>
          <w:lang w:val="bg-BG"/>
        </w:rPr>
        <w:t>исертаци</w:t>
      </w:r>
      <w:r w:rsidR="00922DD5">
        <w:rPr>
          <w:sz w:val="28"/>
          <w:szCs w:val="28"/>
          <w:lang w:val="bg-BG"/>
        </w:rPr>
        <w:t xml:space="preserve">я </w:t>
      </w:r>
      <w:r w:rsidR="000962C1" w:rsidRPr="005D4029">
        <w:rPr>
          <w:sz w:val="28"/>
          <w:szCs w:val="28"/>
          <w:lang w:val="bg-BG"/>
        </w:rPr>
        <w:t xml:space="preserve">д-р Живков продължава да работи и издава публикации, свързани с различни аспекти от историята и политическата дейност на Прогресивнолибералната партия. </w:t>
      </w:r>
      <w:r w:rsidR="004B5E95" w:rsidRPr="005D4029">
        <w:rPr>
          <w:sz w:val="28"/>
          <w:szCs w:val="28"/>
          <w:lang w:val="bg-BG"/>
        </w:rPr>
        <w:t>В</w:t>
      </w:r>
      <w:r w:rsidR="000962C1" w:rsidRPr="005D4029">
        <w:rPr>
          <w:sz w:val="28"/>
          <w:szCs w:val="28"/>
          <w:lang w:val="bg-BG"/>
        </w:rPr>
        <w:t xml:space="preserve"> сп</w:t>
      </w:r>
      <w:r w:rsidR="004B5E95" w:rsidRPr="005D4029">
        <w:rPr>
          <w:sz w:val="28"/>
          <w:szCs w:val="28"/>
          <w:lang w:val="bg-BG"/>
        </w:rPr>
        <w:t xml:space="preserve">исание </w:t>
      </w:r>
      <w:r w:rsidR="000962C1" w:rsidRPr="005D4029">
        <w:rPr>
          <w:sz w:val="28"/>
          <w:szCs w:val="28"/>
          <w:lang w:val="bg-BG"/>
        </w:rPr>
        <w:t xml:space="preserve">„История“ е  представено нейното самостоятелно управление </w:t>
      </w:r>
      <w:r w:rsidR="004B5E95" w:rsidRPr="005D4029">
        <w:rPr>
          <w:sz w:val="28"/>
          <w:szCs w:val="28"/>
          <w:lang w:val="bg-BG"/>
        </w:rPr>
        <w:t xml:space="preserve">от </w:t>
      </w:r>
      <w:r w:rsidR="000962C1" w:rsidRPr="005D4029">
        <w:rPr>
          <w:sz w:val="28"/>
          <w:szCs w:val="28"/>
          <w:lang w:val="bg-BG"/>
        </w:rPr>
        <w:t xml:space="preserve">декември 1901 </w:t>
      </w:r>
      <w:r w:rsidR="004B5E95" w:rsidRPr="005D4029">
        <w:rPr>
          <w:sz w:val="28"/>
          <w:szCs w:val="28"/>
          <w:lang w:val="bg-BG"/>
        </w:rPr>
        <w:t xml:space="preserve">до </w:t>
      </w:r>
      <w:r w:rsidR="000962C1" w:rsidRPr="005D4029">
        <w:rPr>
          <w:sz w:val="28"/>
          <w:szCs w:val="28"/>
          <w:lang w:val="bg-BG"/>
        </w:rPr>
        <w:t>май 1903</w:t>
      </w:r>
      <w:r w:rsidR="004B5E95" w:rsidRPr="005D4029">
        <w:rPr>
          <w:sz w:val="28"/>
          <w:szCs w:val="28"/>
          <w:lang w:val="bg-BG"/>
        </w:rPr>
        <w:t xml:space="preserve"> г. с акцент върху </w:t>
      </w:r>
      <w:r w:rsidR="000962C1" w:rsidRPr="005D4029">
        <w:rPr>
          <w:sz w:val="28"/>
          <w:szCs w:val="28"/>
          <w:lang w:val="bg-BG"/>
        </w:rPr>
        <w:t>финансовата, вътрешна</w:t>
      </w:r>
      <w:r w:rsidR="008E49EB">
        <w:rPr>
          <w:sz w:val="28"/>
          <w:szCs w:val="28"/>
          <w:lang w:val="bg-BG"/>
        </w:rPr>
        <w:t>та</w:t>
      </w:r>
      <w:r w:rsidR="000962C1" w:rsidRPr="005D4029">
        <w:rPr>
          <w:sz w:val="28"/>
          <w:szCs w:val="28"/>
          <w:lang w:val="bg-BG"/>
        </w:rPr>
        <w:t xml:space="preserve"> и външната политика</w:t>
      </w:r>
      <w:r w:rsidR="004B5E95" w:rsidRPr="005D4029">
        <w:rPr>
          <w:sz w:val="28"/>
          <w:szCs w:val="28"/>
          <w:lang w:val="bg-BG"/>
        </w:rPr>
        <w:t>, а рейтингът, социални</w:t>
      </w:r>
      <w:r w:rsidR="00615415" w:rsidRPr="005D4029">
        <w:rPr>
          <w:sz w:val="28"/>
          <w:szCs w:val="28"/>
          <w:lang w:val="bg-BG"/>
        </w:rPr>
        <w:t xml:space="preserve">те </w:t>
      </w:r>
      <w:r w:rsidR="004B5E95" w:rsidRPr="005D4029">
        <w:rPr>
          <w:sz w:val="28"/>
          <w:szCs w:val="28"/>
          <w:lang w:val="bg-BG"/>
        </w:rPr>
        <w:t xml:space="preserve">връзки и зависимости на членския ѝ състав </w:t>
      </w:r>
      <w:r w:rsidR="00922DD5">
        <w:rPr>
          <w:sz w:val="28"/>
          <w:szCs w:val="28"/>
          <w:lang w:val="bg-BG"/>
        </w:rPr>
        <w:t>са разгледани в</w:t>
      </w:r>
      <w:r w:rsidR="004B5E95" w:rsidRPr="005D4029">
        <w:rPr>
          <w:sz w:val="28"/>
          <w:szCs w:val="28"/>
          <w:lang w:val="bg-BG"/>
        </w:rPr>
        <w:t xml:space="preserve"> студия, отпечатана в „Известия на държавните архиви“. </w:t>
      </w:r>
      <w:r w:rsidR="00A753CC" w:rsidRPr="005D4029">
        <w:rPr>
          <w:sz w:val="28"/>
          <w:szCs w:val="28"/>
          <w:lang w:val="bg-BG"/>
        </w:rPr>
        <w:t xml:space="preserve">Отделна </w:t>
      </w:r>
      <w:r w:rsidR="00922DD5">
        <w:rPr>
          <w:sz w:val="28"/>
          <w:szCs w:val="28"/>
          <w:lang w:val="bg-BG"/>
        </w:rPr>
        <w:t>студия в Годишника на Софийския</w:t>
      </w:r>
      <w:r w:rsidR="00A753CC" w:rsidRPr="005D4029">
        <w:rPr>
          <w:sz w:val="28"/>
          <w:szCs w:val="28"/>
          <w:lang w:val="bg-BG"/>
        </w:rPr>
        <w:t xml:space="preserve"> университет проследява състоянието и прояв</w:t>
      </w:r>
      <w:r w:rsidR="008E49EB">
        <w:rPr>
          <w:sz w:val="28"/>
          <w:szCs w:val="28"/>
          <w:lang w:val="bg-BG"/>
        </w:rPr>
        <w:t>и</w:t>
      </w:r>
      <w:r w:rsidR="00A753CC" w:rsidRPr="005D4029">
        <w:rPr>
          <w:sz w:val="28"/>
          <w:szCs w:val="28"/>
          <w:lang w:val="bg-BG"/>
        </w:rPr>
        <w:t xml:space="preserve">те на партията в периода, когато тя е извън управлението на страната. </w:t>
      </w:r>
      <w:r w:rsidR="00615415" w:rsidRPr="005D4029">
        <w:rPr>
          <w:sz w:val="28"/>
          <w:szCs w:val="28"/>
          <w:lang w:val="bg-BG"/>
        </w:rPr>
        <w:t xml:space="preserve">Залезът на „буржоазното“ русофилство и на Прогресивнолибералната партия в България са обект на отделна статия. </w:t>
      </w:r>
      <w:r w:rsidR="004B5E95" w:rsidRPr="005D4029">
        <w:rPr>
          <w:sz w:val="28"/>
          <w:szCs w:val="28"/>
          <w:lang w:val="bg-BG"/>
        </w:rPr>
        <w:t xml:space="preserve">През  2014 г. излиза от печат монографията му „Прогресивнолибералната партия в България: С Русия политика </w:t>
      </w:r>
      <w:r w:rsidR="00922DD5">
        <w:rPr>
          <w:sz w:val="28"/>
          <w:szCs w:val="28"/>
          <w:lang w:val="bg-BG"/>
        </w:rPr>
        <w:t>не правим! (1899</w:t>
      </w:r>
      <w:r w:rsidR="004B5E95" w:rsidRPr="005D4029">
        <w:rPr>
          <w:sz w:val="28"/>
          <w:szCs w:val="28"/>
          <w:lang w:val="bg-BG"/>
        </w:rPr>
        <w:t>–1920)“. Това е пъ</w:t>
      </w:r>
      <w:r w:rsidR="00A53CDB" w:rsidRPr="005D4029">
        <w:rPr>
          <w:sz w:val="28"/>
          <w:szCs w:val="28"/>
          <w:lang w:val="bg-BG"/>
        </w:rPr>
        <w:t>р</w:t>
      </w:r>
      <w:r w:rsidR="004B5E95" w:rsidRPr="005D4029">
        <w:rPr>
          <w:sz w:val="28"/>
          <w:szCs w:val="28"/>
          <w:lang w:val="bg-BG"/>
        </w:rPr>
        <w:t xml:space="preserve">вото цялостно научно изследване, </w:t>
      </w:r>
      <w:r w:rsidR="00A53CDB" w:rsidRPr="005D4029">
        <w:rPr>
          <w:sz w:val="28"/>
          <w:szCs w:val="28"/>
          <w:lang w:val="bg-BG"/>
        </w:rPr>
        <w:t xml:space="preserve">проследяващо в детайли всички аспекти на организационното, идейно и </w:t>
      </w:r>
      <w:r w:rsidR="00A53CDB" w:rsidRPr="005D4029">
        <w:rPr>
          <w:sz w:val="28"/>
          <w:szCs w:val="28"/>
          <w:lang w:val="bg-BG"/>
        </w:rPr>
        <w:lastRenderedPageBreak/>
        <w:t xml:space="preserve">политическото присъствие на тази крайно русофилска партия в българското политическо пространство, вече в периода до сливането ѝ </w:t>
      </w:r>
      <w:r w:rsidR="008E49EB">
        <w:rPr>
          <w:sz w:val="28"/>
          <w:szCs w:val="28"/>
          <w:lang w:val="bg-BG"/>
        </w:rPr>
        <w:t xml:space="preserve">с </w:t>
      </w:r>
      <w:r w:rsidR="00A53CDB" w:rsidRPr="005D4029">
        <w:rPr>
          <w:sz w:val="28"/>
          <w:szCs w:val="28"/>
          <w:lang w:val="bg-BG"/>
        </w:rPr>
        <w:t xml:space="preserve">Народната партия. </w:t>
      </w:r>
      <w:r w:rsidR="00544E1F" w:rsidRPr="005D4029">
        <w:rPr>
          <w:sz w:val="28"/>
          <w:szCs w:val="28"/>
          <w:lang w:val="bg-BG"/>
        </w:rPr>
        <w:t>Изследването е построено върху богат и най-вече неизползван архивен материал</w:t>
      </w:r>
      <w:r w:rsidR="00922DD5">
        <w:rPr>
          <w:sz w:val="28"/>
          <w:szCs w:val="28"/>
          <w:lang w:val="bg-BG"/>
        </w:rPr>
        <w:t>.</w:t>
      </w:r>
      <w:r w:rsidR="00544E1F" w:rsidRPr="005D4029">
        <w:rPr>
          <w:sz w:val="28"/>
          <w:szCs w:val="28"/>
          <w:lang w:val="bg-BG"/>
        </w:rPr>
        <w:t xml:space="preserve"> </w:t>
      </w:r>
      <w:r w:rsidR="00A53CDB" w:rsidRPr="005D4029">
        <w:rPr>
          <w:sz w:val="28"/>
          <w:szCs w:val="28"/>
          <w:lang w:val="bg-BG"/>
        </w:rPr>
        <w:t xml:space="preserve">В </w:t>
      </w:r>
      <w:r w:rsidR="002B5164" w:rsidRPr="005D4029">
        <w:rPr>
          <w:sz w:val="28"/>
          <w:szCs w:val="28"/>
          <w:lang w:val="bg-BG"/>
        </w:rPr>
        <w:t>него се проявява един подход, който ще се превърне в запазена марка на автора при представянето, анализа и оценката на историческите събития и процеси</w:t>
      </w:r>
      <w:r w:rsidR="00615415" w:rsidRPr="005D4029">
        <w:rPr>
          <w:sz w:val="28"/>
          <w:szCs w:val="28"/>
          <w:lang w:val="bg-BG"/>
        </w:rPr>
        <w:t>.</w:t>
      </w:r>
      <w:r w:rsidR="002B5164" w:rsidRPr="005D4029">
        <w:rPr>
          <w:sz w:val="28"/>
          <w:szCs w:val="28"/>
          <w:lang w:val="bg-BG"/>
        </w:rPr>
        <w:t xml:space="preserve"> Този подход е</w:t>
      </w:r>
      <w:r w:rsidR="004B5E95" w:rsidRPr="005D4029">
        <w:rPr>
          <w:sz w:val="28"/>
          <w:szCs w:val="28"/>
          <w:lang w:val="bg-BG"/>
        </w:rPr>
        <w:t xml:space="preserve"> интердисциплинарен</w:t>
      </w:r>
      <w:r w:rsidR="002B5164" w:rsidRPr="005D4029">
        <w:rPr>
          <w:sz w:val="28"/>
          <w:szCs w:val="28"/>
          <w:lang w:val="bg-BG"/>
        </w:rPr>
        <w:t xml:space="preserve"> с </w:t>
      </w:r>
      <w:r w:rsidR="00922DD5" w:rsidRPr="005D4029">
        <w:rPr>
          <w:sz w:val="28"/>
          <w:szCs w:val="28"/>
          <w:lang w:val="bg-BG"/>
        </w:rPr>
        <w:t>комбинираното</w:t>
      </w:r>
      <w:r w:rsidR="002B5164" w:rsidRPr="005D4029">
        <w:rPr>
          <w:sz w:val="28"/>
          <w:szCs w:val="28"/>
          <w:lang w:val="bg-BG"/>
        </w:rPr>
        <w:t xml:space="preserve"> използване на </w:t>
      </w:r>
      <w:r w:rsidR="004B5E95" w:rsidRPr="005D4029">
        <w:rPr>
          <w:sz w:val="28"/>
          <w:szCs w:val="28"/>
          <w:lang w:val="bg-BG"/>
        </w:rPr>
        <w:t>политологически</w:t>
      </w:r>
      <w:r w:rsidR="002B5164" w:rsidRPr="005D4029">
        <w:rPr>
          <w:sz w:val="28"/>
          <w:szCs w:val="28"/>
          <w:lang w:val="bg-BG"/>
        </w:rPr>
        <w:t xml:space="preserve">, </w:t>
      </w:r>
      <w:r w:rsidR="004B5E95" w:rsidRPr="005D4029">
        <w:rPr>
          <w:sz w:val="28"/>
          <w:szCs w:val="28"/>
          <w:lang w:val="bg-BG"/>
        </w:rPr>
        <w:t>исторически</w:t>
      </w:r>
      <w:r w:rsidR="00922DD5">
        <w:rPr>
          <w:sz w:val="28"/>
          <w:szCs w:val="28"/>
          <w:lang w:val="bg-BG"/>
        </w:rPr>
        <w:t xml:space="preserve">, демографски </w:t>
      </w:r>
      <w:r w:rsidR="002B5164" w:rsidRPr="005D4029">
        <w:rPr>
          <w:sz w:val="28"/>
          <w:szCs w:val="28"/>
          <w:lang w:val="bg-BG"/>
        </w:rPr>
        <w:t xml:space="preserve">и статистически </w:t>
      </w:r>
      <w:r w:rsidR="004B5E95" w:rsidRPr="005D4029">
        <w:rPr>
          <w:sz w:val="28"/>
          <w:szCs w:val="28"/>
          <w:lang w:val="bg-BG"/>
        </w:rPr>
        <w:t>методи</w:t>
      </w:r>
      <w:r w:rsidR="00615415" w:rsidRPr="005D4029">
        <w:rPr>
          <w:sz w:val="28"/>
          <w:szCs w:val="28"/>
          <w:lang w:val="bg-BG"/>
        </w:rPr>
        <w:t xml:space="preserve">. </w:t>
      </w:r>
      <w:r w:rsidR="002B5164" w:rsidRPr="005D4029">
        <w:rPr>
          <w:sz w:val="28"/>
          <w:szCs w:val="28"/>
          <w:lang w:val="bg-BG"/>
        </w:rPr>
        <w:t xml:space="preserve">В </w:t>
      </w:r>
      <w:r w:rsidR="00615415" w:rsidRPr="005D4029">
        <w:rPr>
          <w:sz w:val="28"/>
          <w:szCs w:val="28"/>
          <w:lang w:val="bg-BG"/>
        </w:rPr>
        <w:t xml:space="preserve">посочените публикации </w:t>
      </w:r>
      <w:r w:rsidR="002B5164" w:rsidRPr="005D4029">
        <w:rPr>
          <w:sz w:val="28"/>
          <w:szCs w:val="28"/>
          <w:lang w:val="bg-BG"/>
        </w:rPr>
        <w:t xml:space="preserve">се проявява съвестното и отговорно отношение на автора към разглежданата проблематика, неговата професионалната прецизност и задълбоченост. Те не копират, а надграждат и оптимизират постигнатото в дисертационния труд. </w:t>
      </w:r>
      <w:r w:rsidR="003559F8" w:rsidRPr="005D4029">
        <w:rPr>
          <w:sz w:val="28"/>
          <w:szCs w:val="28"/>
          <w:lang w:val="bg-BG"/>
        </w:rPr>
        <w:t>По</w:t>
      </w:r>
      <w:r w:rsidR="00CD2139" w:rsidRPr="005D4029">
        <w:rPr>
          <w:sz w:val="28"/>
          <w:szCs w:val="28"/>
          <w:lang w:val="bg-BG"/>
        </w:rPr>
        <w:t>литическата съдба на прогресивнолибералите</w:t>
      </w:r>
      <w:r w:rsidR="003559F8" w:rsidRPr="005D4029">
        <w:rPr>
          <w:sz w:val="28"/>
          <w:szCs w:val="28"/>
          <w:lang w:val="bg-BG"/>
        </w:rPr>
        <w:t xml:space="preserve"> сл</w:t>
      </w:r>
      <w:r w:rsidR="00CD2139" w:rsidRPr="005D4029">
        <w:rPr>
          <w:sz w:val="28"/>
          <w:szCs w:val="28"/>
          <w:lang w:val="bg-BG"/>
        </w:rPr>
        <w:t>ед саморазпускането на партията им</w:t>
      </w:r>
      <w:r w:rsidR="003559F8" w:rsidRPr="005D4029">
        <w:rPr>
          <w:sz w:val="28"/>
          <w:szCs w:val="28"/>
          <w:lang w:val="bg-BG"/>
        </w:rPr>
        <w:t xml:space="preserve"> </w:t>
      </w:r>
      <w:r w:rsidR="008E49EB">
        <w:rPr>
          <w:sz w:val="28"/>
          <w:szCs w:val="28"/>
          <w:lang w:val="bg-BG"/>
        </w:rPr>
        <w:t>продължава</w:t>
      </w:r>
      <w:r w:rsidR="003559F8" w:rsidRPr="005D4029">
        <w:rPr>
          <w:sz w:val="28"/>
          <w:szCs w:val="28"/>
          <w:lang w:val="bg-BG"/>
        </w:rPr>
        <w:t xml:space="preserve"> да вълнуват д-р Живков и той им посвещава отделна статия, с което, поне на този етап, финализира темата и заниманията с нея. </w:t>
      </w:r>
    </w:p>
    <w:p w:rsidR="00EC7515" w:rsidRPr="005D4029" w:rsidRDefault="00EC7515" w:rsidP="003559F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g-BG"/>
        </w:rPr>
      </w:pPr>
      <w:r w:rsidRPr="005D4029">
        <w:rPr>
          <w:i/>
          <w:sz w:val="28"/>
          <w:szCs w:val="28"/>
          <w:lang w:val="bg-BG"/>
        </w:rPr>
        <w:t>Публикации, посветени на българската държав</w:t>
      </w:r>
      <w:r w:rsidR="00A753CC" w:rsidRPr="005D4029">
        <w:rPr>
          <w:i/>
          <w:sz w:val="28"/>
          <w:szCs w:val="28"/>
          <w:lang w:val="bg-BG"/>
        </w:rPr>
        <w:t>ност и на</w:t>
      </w:r>
      <w:r w:rsidR="008E49EB">
        <w:rPr>
          <w:i/>
          <w:sz w:val="28"/>
          <w:szCs w:val="28"/>
          <w:lang w:val="bg-BG"/>
        </w:rPr>
        <w:t xml:space="preserve"> професионални представителства</w:t>
      </w:r>
      <w:r w:rsidR="00A753CC" w:rsidRPr="005D4029">
        <w:rPr>
          <w:i/>
          <w:sz w:val="28"/>
          <w:szCs w:val="28"/>
          <w:lang w:val="bg-BG"/>
        </w:rPr>
        <w:t xml:space="preserve"> </w:t>
      </w:r>
    </w:p>
    <w:p w:rsidR="00BD0683" w:rsidRPr="005D4029" w:rsidRDefault="00E17546" w:rsidP="00E17546">
      <w:pPr>
        <w:pStyle w:val="a3"/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EC7515" w:rsidRPr="005D4029">
        <w:rPr>
          <w:sz w:val="28"/>
          <w:szCs w:val="28"/>
          <w:lang w:val="bg-BG"/>
        </w:rPr>
        <w:t xml:space="preserve">В това направление студиите и статиите на д-р </w:t>
      </w:r>
      <w:r w:rsidR="003559F8" w:rsidRPr="005D4029">
        <w:rPr>
          <w:sz w:val="28"/>
          <w:szCs w:val="28"/>
          <w:lang w:val="bg-BG"/>
        </w:rPr>
        <w:t xml:space="preserve">Живков </w:t>
      </w:r>
      <w:r w:rsidR="00CE1BF0">
        <w:rPr>
          <w:sz w:val="28"/>
          <w:szCs w:val="28"/>
          <w:lang w:val="bg-BG"/>
        </w:rPr>
        <w:t xml:space="preserve">са </w:t>
      </w:r>
      <w:r w:rsidR="003559F8" w:rsidRPr="005D4029">
        <w:rPr>
          <w:sz w:val="28"/>
          <w:szCs w:val="28"/>
          <w:lang w:val="bg-BG"/>
        </w:rPr>
        <w:t>в съавторство</w:t>
      </w:r>
      <w:r w:rsidR="00E91C26" w:rsidRPr="005D4029">
        <w:rPr>
          <w:sz w:val="28"/>
          <w:szCs w:val="28"/>
          <w:lang w:val="bg-BG"/>
        </w:rPr>
        <w:t xml:space="preserve">, </w:t>
      </w:r>
      <w:r w:rsidR="004966C9" w:rsidRPr="005D4029">
        <w:rPr>
          <w:sz w:val="28"/>
          <w:szCs w:val="28"/>
          <w:lang w:val="bg-BG"/>
        </w:rPr>
        <w:t>кои</w:t>
      </w:r>
      <w:r w:rsidR="00E91C26" w:rsidRPr="005D4029">
        <w:rPr>
          <w:sz w:val="28"/>
          <w:szCs w:val="28"/>
          <w:lang w:val="bg-BG"/>
        </w:rPr>
        <w:t>то свидетелства</w:t>
      </w:r>
      <w:r w:rsidR="004966C9" w:rsidRPr="005D4029">
        <w:rPr>
          <w:sz w:val="28"/>
          <w:szCs w:val="28"/>
          <w:lang w:val="bg-BG"/>
        </w:rPr>
        <w:t>т</w:t>
      </w:r>
      <w:r w:rsidR="00E91C26" w:rsidRPr="005D4029">
        <w:rPr>
          <w:sz w:val="28"/>
          <w:szCs w:val="28"/>
          <w:lang w:val="bg-BG"/>
        </w:rPr>
        <w:t xml:space="preserve"> за кооперативните му способности. В тях са разгледани държавната политика по </w:t>
      </w:r>
      <w:r w:rsidR="00EC7515" w:rsidRPr="005D4029">
        <w:rPr>
          <w:sz w:val="28"/>
          <w:szCs w:val="28"/>
          <w:lang w:val="bg-BG"/>
        </w:rPr>
        <w:t xml:space="preserve">отношение на културното наследство </w:t>
      </w:r>
      <w:r w:rsidR="00E91C26" w:rsidRPr="005D4029">
        <w:rPr>
          <w:sz w:val="28"/>
          <w:szCs w:val="28"/>
          <w:lang w:val="bg-BG"/>
        </w:rPr>
        <w:t xml:space="preserve">от 1878 </w:t>
      </w:r>
      <w:r w:rsidR="00EC7515" w:rsidRPr="005D4029">
        <w:rPr>
          <w:sz w:val="28"/>
          <w:szCs w:val="28"/>
          <w:lang w:val="bg-BG"/>
        </w:rPr>
        <w:t>до 1989 г.</w:t>
      </w:r>
      <w:r w:rsidR="00E91C26" w:rsidRPr="005D4029">
        <w:rPr>
          <w:sz w:val="28"/>
          <w:szCs w:val="28"/>
          <w:lang w:val="bg-BG"/>
        </w:rPr>
        <w:t xml:space="preserve">, </w:t>
      </w:r>
      <w:r w:rsidR="00EC7515" w:rsidRPr="005D4029">
        <w:rPr>
          <w:sz w:val="28"/>
          <w:szCs w:val="28"/>
          <w:lang w:val="bg-BG"/>
        </w:rPr>
        <w:t xml:space="preserve">нормативното и практическо изграждане на модерно музейно, архивно и библиотечно дело в България. Две </w:t>
      </w:r>
      <w:r w:rsidR="00E91C26" w:rsidRPr="005D4029">
        <w:rPr>
          <w:sz w:val="28"/>
          <w:szCs w:val="28"/>
          <w:lang w:val="bg-BG"/>
        </w:rPr>
        <w:t xml:space="preserve">от </w:t>
      </w:r>
      <w:r w:rsidR="00EC7515" w:rsidRPr="005D4029">
        <w:rPr>
          <w:sz w:val="28"/>
          <w:szCs w:val="28"/>
          <w:lang w:val="bg-BG"/>
        </w:rPr>
        <w:t xml:space="preserve">публикациите му </w:t>
      </w:r>
      <w:r w:rsidR="00BD0683" w:rsidRPr="005D4029">
        <w:rPr>
          <w:sz w:val="28"/>
          <w:szCs w:val="28"/>
          <w:lang w:val="bg-BG"/>
        </w:rPr>
        <w:t xml:space="preserve">(съвместно с д-р </w:t>
      </w:r>
      <w:r w:rsidR="002556DD">
        <w:rPr>
          <w:sz w:val="28"/>
          <w:szCs w:val="28"/>
          <w:lang w:val="bg-BG"/>
        </w:rPr>
        <w:t xml:space="preserve">Вл. </w:t>
      </w:r>
      <w:r w:rsidR="00BD0683" w:rsidRPr="005D4029">
        <w:rPr>
          <w:sz w:val="28"/>
          <w:szCs w:val="28"/>
          <w:lang w:val="bg-BG"/>
        </w:rPr>
        <w:t xml:space="preserve">Станев) </w:t>
      </w:r>
      <w:r w:rsidR="00EC7515" w:rsidRPr="005D4029">
        <w:rPr>
          <w:sz w:val="28"/>
          <w:szCs w:val="28"/>
          <w:lang w:val="bg-BG"/>
        </w:rPr>
        <w:t xml:space="preserve">са посветени на </w:t>
      </w:r>
      <w:r w:rsidR="00BD0683" w:rsidRPr="005D4029">
        <w:rPr>
          <w:sz w:val="28"/>
          <w:szCs w:val="28"/>
          <w:lang w:val="bg-BG"/>
        </w:rPr>
        <w:t xml:space="preserve">председателите на Висшия адвокатски съвет в периода 1925–1944 г. </w:t>
      </w:r>
      <w:r w:rsidR="00EC7515" w:rsidRPr="005D4029">
        <w:rPr>
          <w:sz w:val="28"/>
          <w:szCs w:val="28"/>
          <w:lang w:val="bg-BG"/>
        </w:rPr>
        <w:t>и на ролята на адвокатите за спасяването на българските евреи.</w:t>
      </w:r>
      <w:r w:rsidR="008E49EB">
        <w:rPr>
          <w:sz w:val="28"/>
          <w:szCs w:val="28"/>
          <w:lang w:val="bg-BG"/>
        </w:rPr>
        <w:t xml:space="preserve"> В първата са</w:t>
      </w:r>
      <w:r w:rsidR="00BD0683" w:rsidRPr="005D4029">
        <w:rPr>
          <w:sz w:val="28"/>
          <w:szCs w:val="28"/>
          <w:lang w:val="bg-BG"/>
        </w:rPr>
        <w:t xml:space="preserve"> представени  биографиите на шестима видни юристи, сред които и Александър Малинов</w:t>
      </w:r>
      <w:r w:rsidR="002556DD">
        <w:rPr>
          <w:sz w:val="28"/>
          <w:szCs w:val="28"/>
          <w:lang w:val="bg-BG"/>
        </w:rPr>
        <w:t>,</w:t>
      </w:r>
      <w:r w:rsidR="00BD0683" w:rsidRPr="005D4029">
        <w:rPr>
          <w:sz w:val="28"/>
          <w:szCs w:val="28"/>
          <w:lang w:val="bg-BG"/>
        </w:rPr>
        <w:t xml:space="preserve"> </w:t>
      </w:r>
      <w:r w:rsidR="004966C9" w:rsidRPr="005D4029">
        <w:rPr>
          <w:sz w:val="28"/>
          <w:szCs w:val="28"/>
          <w:lang w:val="bg-BG"/>
        </w:rPr>
        <w:t>и т</w:t>
      </w:r>
      <w:r w:rsidR="00BD0683" w:rsidRPr="005D4029">
        <w:rPr>
          <w:sz w:val="28"/>
          <w:szCs w:val="28"/>
          <w:lang w:val="bg-BG"/>
        </w:rPr>
        <w:t xml:space="preserve">яхната обществена дейност, а втората анализира позициите и поведението на Съюза на българските адвокати, на Висшия </w:t>
      </w:r>
      <w:r w:rsidR="00BD0683" w:rsidRPr="005D4029">
        <w:rPr>
          <w:sz w:val="28"/>
          <w:szCs w:val="28"/>
          <w:lang w:val="bg-BG"/>
        </w:rPr>
        <w:lastRenderedPageBreak/>
        <w:t xml:space="preserve">адвокатски съвет, на адвокатската колегия по </w:t>
      </w:r>
      <w:r w:rsidR="00867C65" w:rsidRPr="005D4029">
        <w:rPr>
          <w:sz w:val="28"/>
          <w:szCs w:val="28"/>
          <w:lang w:val="bg-BG"/>
        </w:rPr>
        <w:t>отношение</w:t>
      </w:r>
      <w:r w:rsidR="00BD0683" w:rsidRPr="005D4029">
        <w:rPr>
          <w:sz w:val="28"/>
          <w:szCs w:val="28"/>
          <w:lang w:val="bg-BG"/>
        </w:rPr>
        <w:t xml:space="preserve"> на антиеврейското законодателство и защитата на българските евреи. </w:t>
      </w:r>
    </w:p>
    <w:p w:rsidR="00EC7515" w:rsidRPr="005D4029" w:rsidRDefault="00EC7515" w:rsidP="00EC7515">
      <w:pPr>
        <w:pStyle w:val="a3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  <w:lang w:val="bg-BG"/>
        </w:rPr>
      </w:pPr>
      <w:r w:rsidRPr="005D4029">
        <w:rPr>
          <w:i/>
          <w:sz w:val="28"/>
          <w:szCs w:val="28"/>
          <w:lang w:val="bg-BG"/>
        </w:rPr>
        <w:t xml:space="preserve">Публикации, посветени на </w:t>
      </w:r>
      <w:r w:rsidR="00544E1F" w:rsidRPr="005D4029">
        <w:rPr>
          <w:i/>
          <w:sz w:val="28"/>
          <w:szCs w:val="28"/>
          <w:lang w:val="bg-BG"/>
        </w:rPr>
        <w:t>изборн</w:t>
      </w:r>
      <w:r w:rsidR="004966C9" w:rsidRPr="005D4029">
        <w:rPr>
          <w:i/>
          <w:sz w:val="28"/>
          <w:szCs w:val="28"/>
          <w:lang w:val="bg-BG"/>
        </w:rPr>
        <w:t xml:space="preserve">ите права, изборното </w:t>
      </w:r>
      <w:r w:rsidR="00544E1F" w:rsidRPr="005D4029">
        <w:rPr>
          <w:i/>
          <w:sz w:val="28"/>
          <w:szCs w:val="28"/>
          <w:lang w:val="bg-BG"/>
        </w:rPr>
        <w:t>законо</w:t>
      </w:r>
      <w:r w:rsidR="008E49EB">
        <w:rPr>
          <w:i/>
          <w:sz w:val="28"/>
          <w:szCs w:val="28"/>
          <w:lang w:val="bg-BG"/>
        </w:rPr>
        <w:t>дателство и изборите в България</w:t>
      </w:r>
      <w:r w:rsidR="00544E1F" w:rsidRPr="005D4029">
        <w:rPr>
          <w:i/>
          <w:sz w:val="28"/>
          <w:szCs w:val="28"/>
          <w:lang w:val="bg-BG"/>
        </w:rPr>
        <w:t xml:space="preserve"> </w:t>
      </w:r>
    </w:p>
    <w:p w:rsidR="00274C4D" w:rsidRPr="005D4029" w:rsidRDefault="00E17546" w:rsidP="00E17546">
      <w:pPr>
        <w:pStyle w:val="a3"/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bookmarkStart w:id="0" w:name="_GoBack"/>
      <w:bookmarkEnd w:id="0"/>
      <w:r w:rsidR="00EC7515" w:rsidRPr="005D4029">
        <w:rPr>
          <w:sz w:val="28"/>
          <w:szCs w:val="28"/>
          <w:lang w:val="bg-BG"/>
        </w:rPr>
        <w:t xml:space="preserve">От </w:t>
      </w:r>
      <w:r w:rsidR="004966C9" w:rsidRPr="005D4029">
        <w:rPr>
          <w:sz w:val="28"/>
          <w:szCs w:val="28"/>
          <w:lang w:val="bg-BG"/>
        </w:rPr>
        <w:t>около 15 години изследователският фокус на д-р Живков е концентриран върху една изследвана, поне напоследък, но все още далеч не изчерпана тема – изборния процес в страната. С</w:t>
      </w:r>
      <w:r w:rsidR="00EC7515" w:rsidRPr="005D4029">
        <w:rPr>
          <w:sz w:val="28"/>
          <w:szCs w:val="28"/>
          <w:lang w:val="bg-BG"/>
        </w:rPr>
        <w:t>ъс завидна последователност и упоритост,</w:t>
      </w:r>
      <w:r w:rsidR="004966C9" w:rsidRPr="005D4029">
        <w:rPr>
          <w:sz w:val="28"/>
          <w:szCs w:val="28"/>
          <w:lang w:val="bg-BG"/>
        </w:rPr>
        <w:t xml:space="preserve"> той посвещава </w:t>
      </w:r>
      <w:r w:rsidR="00EC7515" w:rsidRPr="005D4029">
        <w:rPr>
          <w:sz w:val="28"/>
          <w:szCs w:val="28"/>
          <w:lang w:val="bg-BG"/>
        </w:rPr>
        <w:t xml:space="preserve">своите </w:t>
      </w:r>
      <w:r w:rsidR="004966C9" w:rsidRPr="005D4029">
        <w:rPr>
          <w:sz w:val="28"/>
          <w:szCs w:val="28"/>
          <w:lang w:val="bg-BG"/>
        </w:rPr>
        <w:t xml:space="preserve">усилия в проучването на отделни нейни аспекти </w:t>
      </w:r>
      <w:r w:rsidR="00631C50" w:rsidRPr="005D4029">
        <w:rPr>
          <w:sz w:val="28"/>
          <w:szCs w:val="28"/>
          <w:lang w:val="bg-BG"/>
        </w:rPr>
        <w:t>–</w:t>
      </w:r>
      <w:r w:rsidR="004966C9" w:rsidRPr="005D4029">
        <w:rPr>
          <w:sz w:val="28"/>
          <w:szCs w:val="28"/>
          <w:lang w:val="bg-BG"/>
        </w:rPr>
        <w:t xml:space="preserve"> </w:t>
      </w:r>
      <w:r w:rsidR="00544E1F" w:rsidRPr="005D4029">
        <w:rPr>
          <w:sz w:val="28"/>
          <w:szCs w:val="28"/>
          <w:lang w:val="bg-BG"/>
        </w:rPr>
        <w:t>движението за избирателни права на</w:t>
      </w:r>
      <w:r w:rsidR="00631C50" w:rsidRPr="005D4029">
        <w:rPr>
          <w:sz w:val="28"/>
          <w:szCs w:val="28"/>
          <w:lang w:val="bg-BG"/>
        </w:rPr>
        <w:t xml:space="preserve"> българските жени, б</w:t>
      </w:r>
      <w:r w:rsidR="00544E1F" w:rsidRPr="005D4029">
        <w:rPr>
          <w:sz w:val="28"/>
          <w:szCs w:val="28"/>
          <w:lang w:val="bg-BG"/>
        </w:rPr>
        <w:t>ългарските електорални регулации в контекста на</w:t>
      </w:r>
      <w:r w:rsidR="00EA6277" w:rsidRPr="005D4029">
        <w:rPr>
          <w:sz w:val="28"/>
          <w:szCs w:val="28"/>
          <w:lang w:val="bg-BG"/>
        </w:rPr>
        <w:t xml:space="preserve"> </w:t>
      </w:r>
      <w:r w:rsidR="00631C50" w:rsidRPr="005D4029">
        <w:rPr>
          <w:sz w:val="28"/>
          <w:szCs w:val="28"/>
          <w:lang w:val="bg-BG"/>
        </w:rPr>
        <w:t xml:space="preserve">избирателното право </w:t>
      </w:r>
      <w:r w:rsidR="00544E1F" w:rsidRPr="005D4029">
        <w:rPr>
          <w:sz w:val="28"/>
          <w:szCs w:val="28"/>
          <w:lang w:val="bg-BG"/>
        </w:rPr>
        <w:t xml:space="preserve">на балканските </w:t>
      </w:r>
      <w:r w:rsidR="00631C50" w:rsidRPr="005D4029">
        <w:rPr>
          <w:sz w:val="28"/>
          <w:szCs w:val="28"/>
          <w:lang w:val="bg-BG"/>
        </w:rPr>
        <w:t xml:space="preserve">и </w:t>
      </w:r>
      <w:r w:rsidR="000326CF" w:rsidRPr="005D4029">
        <w:rPr>
          <w:sz w:val="28"/>
          <w:szCs w:val="28"/>
          <w:lang w:val="bg-BG"/>
        </w:rPr>
        <w:t>западноевропейските</w:t>
      </w:r>
      <w:r w:rsidR="00631C50" w:rsidRPr="005D4029">
        <w:rPr>
          <w:sz w:val="28"/>
          <w:szCs w:val="28"/>
          <w:lang w:val="bg-BG"/>
        </w:rPr>
        <w:t xml:space="preserve"> държави,  регламентацията и функционирането на с</w:t>
      </w:r>
      <w:r w:rsidR="00544E1F" w:rsidRPr="005D4029">
        <w:rPr>
          <w:sz w:val="28"/>
          <w:szCs w:val="28"/>
          <w:lang w:val="bg-BG"/>
        </w:rPr>
        <w:t>месената избирателна система</w:t>
      </w:r>
      <w:r w:rsidR="00631C50" w:rsidRPr="005D4029">
        <w:rPr>
          <w:sz w:val="28"/>
          <w:szCs w:val="28"/>
          <w:lang w:val="bg-BG"/>
        </w:rPr>
        <w:t xml:space="preserve"> в България в </w:t>
      </w:r>
      <w:r w:rsidR="00274C4D" w:rsidRPr="005D4029">
        <w:rPr>
          <w:sz w:val="28"/>
          <w:szCs w:val="28"/>
          <w:lang w:val="bg-BG"/>
        </w:rPr>
        <w:t xml:space="preserve">периода от 1911 до 2009 г., </w:t>
      </w:r>
      <w:r w:rsidR="000326CF">
        <w:rPr>
          <w:sz w:val="28"/>
          <w:szCs w:val="28"/>
          <w:lang w:val="bg-BG"/>
        </w:rPr>
        <w:t xml:space="preserve">българската </w:t>
      </w:r>
      <w:r w:rsidR="00274C4D" w:rsidRPr="005D4029">
        <w:rPr>
          <w:sz w:val="28"/>
          <w:szCs w:val="28"/>
          <w:lang w:val="bg-BG"/>
        </w:rPr>
        <w:t>р</w:t>
      </w:r>
      <w:r w:rsidR="00544E1F" w:rsidRPr="005D4029">
        <w:rPr>
          <w:sz w:val="28"/>
          <w:szCs w:val="28"/>
          <w:lang w:val="bg-BG"/>
        </w:rPr>
        <w:t xml:space="preserve">ецепция на пропорционалната система </w:t>
      </w:r>
      <w:r w:rsidR="00EA6277" w:rsidRPr="005D4029">
        <w:rPr>
          <w:sz w:val="28"/>
          <w:szCs w:val="28"/>
          <w:lang w:val="bg-BG"/>
        </w:rPr>
        <w:t>в</w:t>
      </w:r>
      <w:r w:rsidR="00867C65" w:rsidRPr="005D4029">
        <w:rPr>
          <w:sz w:val="28"/>
          <w:szCs w:val="28"/>
          <w:lang w:val="bg-BG"/>
        </w:rPr>
        <w:t xml:space="preserve"> европейски и </w:t>
      </w:r>
      <w:r w:rsidR="00274C4D" w:rsidRPr="005D4029">
        <w:rPr>
          <w:sz w:val="28"/>
          <w:szCs w:val="28"/>
          <w:lang w:val="bg-BG"/>
        </w:rPr>
        <w:t>световен контекст, въвеждането на задължи</w:t>
      </w:r>
      <w:r w:rsidR="008E49EB">
        <w:rPr>
          <w:sz w:val="28"/>
          <w:szCs w:val="28"/>
          <w:lang w:val="bg-BG"/>
        </w:rPr>
        <w:t>телно гласуване през 1919 г</w:t>
      </w:r>
      <w:r w:rsidR="00274C4D" w:rsidRPr="005D4029">
        <w:rPr>
          <w:sz w:val="28"/>
          <w:szCs w:val="28"/>
          <w:lang w:val="bg-BG"/>
        </w:rPr>
        <w:t>.</w:t>
      </w:r>
    </w:p>
    <w:p w:rsidR="00867C65" w:rsidRPr="005D4029" w:rsidRDefault="00867C65" w:rsidP="00867C65">
      <w:pPr>
        <w:pStyle w:val="a3"/>
        <w:spacing w:line="360" w:lineRule="auto"/>
        <w:jc w:val="both"/>
        <w:rPr>
          <w:sz w:val="28"/>
          <w:szCs w:val="28"/>
          <w:lang w:val="bg-BG"/>
        </w:rPr>
      </w:pPr>
      <w:r w:rsidRPr="005D4029">
        <w:rPr>
          <w:sz w:val="28"/>
          <w:szCs w:val="28"/>
          <w:lang w:val="bg-BG"/>
        </w:rPr>
        <w:tab/>
        <w:t>Логично</w:t>
      </w:r>
      <w:r w:rsidR="000326CF">
        <w:rPr>
          <w:sz w:val="28"/>
          <w:szCs w:val="28"/>
          <w:lang w:val="bg-BG"/>
        </w:rPr>
        <w:t>,</w:t>
      </w:r>
      <w:r w:rsidRPr="005D4029">
        <w:rPr>
          <w:sz w:val="28"/>
          <w:szCs w:val="28"/>
          <w:lang w:val="bg-BG"/>
        </w:rPr>
        <w:t xml:space="preserve"> значителна част от тези проблеми са намерели място в неговия </w:t>
      </w:r>
      <w:r w:rsidR="00EA6277" w:rsidRPr="005D4029">
        <w:rPr>
          <w:sz w:val="28"/>
          <w:szCs w:val="28"/>
          <w:lang w:val="bg-BG"/>
        </w:rPr>
        <w:t>хабилитационен труд: „Пропорционалното представителство. Избори и електорално законодателство в България в навечер</w:t>
      </w:r>
      <w:r w:rsidRPr="005D4029">
        <w:rPr>
          <w:sz w:val="28"/>
          <w:szCs w:val="28"/>
          <w:lang w:val="bg-BG"/>
        </w:rPr>
        <w:t xml:space="preserve">ието на Първата световна война“, издаден от Университетско издателство „Св. </w:t>
      </w:r>
      <w:r w:rsidR="00EA6277" w:rsidRPr="005D4029">
        <w:rPr>
          <w:sz w:val="28"/>
          <w:szCs w:val="28"/>
          <w:lang w:val="bg-BG"/>
        </w:rPr>
        <w:t>Климент Охридски“</w:t>
      </w:r>
      <w:r w:rsidRPr="005D4029">
        <w:rPr>
          <w:sz w:val="28"/>
          <w:szCs w:val="28"/>
          <w:lang w:val="bg-BG"/>
        </w:rPr>
        <w:t xml:space="preserve"> през настоящата година. </w:t>
      </w:r>
      <w:r w:rsidR="00EA6277" w:rsidRPr="005D4029">
        <w:rPr>
          <w:sz w:val="28"/>
          <w:szCs w:val="28"/>
          <w:lang w:val="bg-BG"/>
        </w:rPr>
        <w:t xml:space="preserve"> </w:t>
      </w:r>
    </w:p>
    <w:p w:rsidR="00867C65" w:rsidRDefault="00867C65" w:rsidP="00DE53AA">
      <w:pPr>
        <w:pStyle w:val="a3"/>
        <w:spacing w:line="360" w:lineRule="auto"/>
        <w:jc w:val="both"/>
        <w:rPr>
          <w:sz w:val="28"/>
          <w:szCs w:val="28"/>
          <w:lang w:val="bg-BG"/>
        </w:rPr>
      </w:pPr>
      <w:r w:rsidRPr="005D4029">
        <w:rPr>
          <w:sz w:val="28"/>
          <w:szCs w:val="28"/>
          <w:lang w:val="bg-BG"/>
        </w:rPr>
        <w:tab/>
        <w:t>Монографията е изградена на солидна док</w:t>
      </w:r>
      <w:r w:rsidR="005D4029">
        <w:rPr>
          <w:sz w:val="28"/>
          <w:szCs w:val="28"/>
          <w:lang w:val="bg-BG"/>
        </w:rPr>
        <w:t>ументална основа, почерпе</w:t>
      </w:r>
      <w:r w:rsidR="005D4029" w:rsidRPr="005D4029">
        <w:rPr>
          <w:sz w:val="28"/>
          <w:szCs w:val="28"/>
          <w:lang w:val="bg-BG"/>
        </w:rPr>
        <w:t xml:space="preserve">на от централните и окръжните архиви, от множество публикувани документи </w:t>
      </w:r>
      <w:r w:rsidR="005D4029">
        <w:rPr>
          <w:sz w:val="28"/>
          <w:szCs w:val="28"/>
          <w:lang w:val="bg-BG"/>
        </w:rPr>
        <w:t xml:space="preserve">– конституции, закони, статистики, стенографските дневници на Народното събрание. Използвани са документи на политическите партии и </w:t>
      </w:r>
      <w:r w:rsidR="005D4029" w:rsidRPr="005D4029">
        <w:rPr>
          <w:sz w:val="28"/>
          <w:szCs w:val="28"/>
          <w:lang w:val="bg-BG"/>
        </w:rPr>
        <w:t xml:space="preserve"> периодич</w:t>
      </w:r>
      <w:r w:rsidR="005D4029">
        <w:rPr>
          <w:sz w:val="28"/>
          <w:szCs w:val="28"/>
          <w:lang w:val="bg-BG"/>
        </w:rPr>
        <w:t>ния печат от епохата</w:t>
      </w:r>
      <w:r w:rsidR="00DE53AA">
        <w:rPr>
          <w:sz w:val="28"/>
          <w:szCs w:val="28"/>
          <w:lang w:val="bg-BG"/>
        </w:rPr>
        <w:t xml:space="preserve">, </w:t>
      </w:r>
      <w:r w:rsidR="00DE53AA" w:rsidRPr="005D4029">
        <w:rPr>
          <w:sz w:val="28"/>
          <w:szCs w:val="28"/>
          <w:lang w:val="bg-BG"/>
        </w:rPr>
        <w:t>интернет източници</w:t>
      </w:r>
      <w:r w:rsidR="00DE53AA">
        <w:rPr>
          <w:sz w:val="28"/>
          <w:szCs w:val="28"/>
          <w:lang w:val="bg-BG"/>
        </w:rPr>
        <w:t>.</w:t>
      </w:r>
      <w:r w:rsidR="005D4029">
        <w:rPr>
          <w:sz w:val="28"/>
          <w:szCs w:val="28"/>
          <w:lang w:val="bg-BG"/>
        </w:rPr>
        <w:t xml:space="preserve">  Авторът демонстрира отлично познаване на съществуващата историогр</w:t>
      </w:r>
      <w:r w:rsidR="00CE1BF0">
        <w:rPr>
          <w:sz w:val="28"/>
          <w:szCs w:val="28"/>
          <w:lang w:val="bg-BG"/>
        </w:rPr>
        <w:t xml:space="preserve">афия, родна и чужда, имаща пряка и дори косвена връзка с </w:t>
      </w:r>
      <w:r w:rsidR="005D4029">
        <w:rPr>
          <w:sz w:val="28"/>
          <w:szCs w:val="28"/>
          <w:lang w:val="bg-BG"/>
        </w:rPr>
        <w:t xml:space="preserve">разглежданите от него </w:t>
      </w:r>
      <w:r w:rsidR="005D4029">
        <w:rPr>
          <w:sz w:val="28"/>
          <w:szCs w:val="28"/>
          <w:lang w:val="bg-BG"/>
        </w:rPr>
        <w:lastRenderedPageBreak/>
        <w:t xml:space="preserve">проблеми. </w:t>
      </w:r>
      <w:r w:rsidR="00DE53AA">
        <w:rPr>
          <w:sz w:val="28"/>
          <w:szCs w:val="28"/>
          <w:lang w:val="bg-BG"/>
        </w:rPr>
        <w:t xml:space="preserve">Отношението към </w:t>
      </w:r>
      <w:r w:rsidR="000326CF">
        <w:rPr>
          <w:sz w:val="28"/>
          <w:szCs w:val="28"/>
          <w:lang w:val="bg-BG"/>
        </w:rPr>
        <w:t xml:space="preserve">авторите </w:t>
      </w:r>
      <w:r w:rsidR="008E49EB">
        <w:rPr>
          <w:sz w:val="28"/>
          <w:szCs w:val="28"/>
          <w:lang w:val="bg-BG"/>
        </w:rPr>
        <w:t>е уважително, но и полемично-</w:t>
      </w:r>
      <w:r w:rsidR="00DE53AA">
        <w:rPr>
          <w:sz w:val="28"/>
          <w:szCs w:val="28"/>
          <w:lang w:val="bg-BG"/>
        </w:rPr>
        <w:t xml:space="preserve">критично. </w:t>
      </w:r>
      <w:r w:rsidR="000326CF">
        <w:rPr>
          <w:sz w:val="28"/>
          <w:szCs w:val="28"/>
          <w:lang w:val="bg-BG"/>
        </w:rPr>
        <w:t xml:space="preserve">Формулираната цел на </w:t>
      </w:r>
      <w:r w:rsidR="00DE53AA">
        <w:rPr>
          <w:sz w:val="28"/>
          <w:szCs w:val="28"/>
          <w:lang w:val="bg-BG"/>
        </w:rPr>
        <w:t xml:space="preserve">изследването </w:t>
      </w:r>
      <w:r w:rsidR="000326CF">
        <w:rPr>
          <w:sz w:val="28"/>
          <w:szCs w:val="28"/>
          <w:lang w:val="bg-BG"/>
        </w:rPr>
        <w:t xml:space="preserve">е </w:t>
      </w:r>
      <w:r w:rsidR="00DE53AA">
        <w:rPr>
          <w:sz w:val="28"/>
          <w:szCs w:val="28"/>
          <w:lang w:val="bg-BG"/>
        </w:rPr>
        <w:t xml:space="preserve">да се проследи и анализира въвеждането на пропорционалната избирателна система </w:t>
      </w:r>
      <w:r w:rsidR="00A64241">
        <w:rPr>
          <w:sz w:val="28"/>
          <w:szCs w:val="28"/>
          <w:lang w:val="bg-BG"/>
        </w:rPr>
        <w:t xml:space="preserve">в България и нейното функциониране </w:t>
      </w:r>
      <w:r w:rsidR="00DE53AA">
        <w:rPr>
          <w:sz w:val="28"/>
          <w:szCs w:val="28"/>
          <w:lang w:val="bg-BG"/>
        </w:rPr>
        <w:t xml:space="preserve">от момента на </w:t>
      </w:r>
      <w:r w:rsidR="00A64241">
        <w:rPr>
          <w:sz w:val="28"/>
          <w:szCs w:val="28"/>
          <w:lang w:val="bg-BG"/>
        </w:rPr>
        <w:t>поставянето на въпроса в българското публично пространство до началото на Голямата война</w:t>
      </w:r>
      <w:r w:rsidR="000326CF">
        <w:rPr>
          <w:sz w:val="28"/>
          <w:szCs w:val="28"/>
          <w:lang w:val="bg-BG"/>
        </w:rPr>
        <w:t xml:space="preserve">. Тя е </w:t>
      </w:r>
      <w:r w:rsidR="00A64241">
        <w:rPr>
          <w:sz w:val="28"/>
          <w:szCs w:val="28"/>
          <w:lang w:val="bg-BG"/>
        </w:rPr>
        <w:t xml:space="preserve"> логична и </w:t>
      </w:r>
      <w:r w:rsidR="000326CF">
        <w:rPr>
          <w:sz w:val="28"/>
          <w:szCs w:val="28"/>
          <w:lang w:val="bg-BG"/>
        </w:rPr>
        <w:t xml:space="preserve">добре </w:t>
      </w:r>
      <w:r w:rsidR="00A64241">
        <w:rPr>
          <w:sz w:val="28"/>
          <w:szCs w:val="28"/>
          <w:lang w:val="bg-BG"/>
        </w:rPr>
        <w:t>обоснована</w:t>
      </w:r>
      <w:r w:rsidR="00DE53AA">
        <w:rPr>
          <w:sz w:val="28"/>
          <w:szCs w:val="28"/>
          <w:lang w:val="bg-BG"/>
        </w:rPr>
        <w:t xml:space="preserve">. </w:t>
      </w:r>
      <w:r w:rsidR="00492003">
        <w:rPr>
          <w:sz w:val="28"/>
          <w:szCs w:val="28"/>
          <w:lang w:val="bg-BG"/>
        </w:rPr>
        <w:t xml:space="preserve">Като вторична цел </w:t>
      </w:r>
      <w:r w:rsidR="00DA559B">
        <w:rPr>
          <w:sz w:val="28"/>
          <w:szCs w:val="28"/>
          <w:lang w:val="bg-BG"/>
        </w:rPr>
        <w:t xml:space="preserve">е посочено тестването на теориите на </w:t>
      </w:r>
      <w:r w:rsidR="00F05B40">
        <w:rPr>
          <w:sz w:val="28"/>
          <w:szCs w:val="28"/>
          <w:lang w:val="bg-BG"/>
        </w:rPr>
        <w:t xml:space="preserve">К. Браунис и Ст. Рокан за причините, предизвикали въвеждането на пропорционалните системи, които са опровергани на базата на българския пример. </w:t>
      </w:r>
    </w:p>
    <w:p w:rsidR="00EA6277" w:rsidRPr="005D4029" w:rsidRDefault="00A64241" w:rsidP="00132A22">
      <w:pPr>
        <w:pStyle w:val="a3"/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Изложението се връща доста назад във времето, но това произтича от желанието на автора да стигне до корените и представи еволюцията на идеята и практиката на пропорционалното представителство в световен мащаб, </w:t>
      </w:r>
      <w:r w:rsidR="00F05B40">
        <w:rPr>
          <w:sz w:val="28"/>
          <w:szCs w:val="28"/>
          <w:lang w:val="bg-BG"/>
        </w:rPr>
        <w:t>от Тасмания до Буенос Айрес и Съединените американски щати</w:t>
      </w:r>
      <w:r w:rsidR="000326CF">
        <w:rPr>
          <w:sz w:val="28"/>
          <w:szCs w:val="28"/>
          <w:lang w:val="bg-BG"/>
        </w:rPr>
        <w:t>, през ш</w:t>
      </w:r>
      <w:r w:rsidR="00F05B40">
        <w:rPr>
          <w:sz w:val="28"/>
          <w:szCs w:val="28"/>
          <w:lang w:val="bg-BG"/>
        </w:rPr>
        <w:t xml:space="preserve">вейцарските кантони, Белгия и Сърбия, </w:t>
      </w:r>
      <w:r>
        <w:rPr>
          <w:sz w:val="28"/>
          <w:szCs w:val="28"/>
          <w:lang w:val="bg-BG"/>
        </w:rPr>
        <w:t xml:space="preserve">с оглед открояването на мястото на българския модел. </w:t>
      </w:r>
      <w:r w:rsidR="00F05B40">
        <w:rPr>
          <w:sz w:val="28"/>
          <w:szCs w:val="28"/>
          <w:lang w:val="bg-BG"/>
        </w:rPr>
        <w:t>Поставянето на въпроса за пропорцията между идеализма и справедливостта от една страна</w:t>
      </w:r>
      <w:r w:rsidR="008E49EB">
        <w:rPr>
          <w:sz w:val="28"/>
          <w:szCs w:val="28"/>
          <w:lang w:val="bg-BG"/>
        </w:rPr>
        <w:t>,</w:t>
      </w:r>
      <w:r w:rsidR="00F05B40">
        <w:rPr>
          <w:sz w:val="28"/>
          <w:szCs w:val="28"/>
          <w:lang w:val="bg-BG"/>
        </w:rPr>
        <w:t xml:space="preserve"> и прагматизма и </w:t>
      </w:r>
      <w:r w:rsidR="006907EB">
        <w:rPr>
          <w:sz w:val="28"/>
          <w:szCs w:val="28"/>
          <w:lang w:val="bg-BG"/>
        </w:rPr>
        <w:t xml:space="preserve">партийните интереси от друга при </w:t>
      </w:r>
      <w:r w:rsidR="000326CF">
        <w:rPr>
          <w:sz w:val="28"/>
          <w:szCs w:val="28"/>
          <w:lang w:val="bg-BG"/>
        </w:rPr>
        <w:t xml:space="preserve">налагането </w:t>
      </w:r>
      <w:r w:rsidR="006907EB">
        <w:rPr>
          <w:sz w:val="28"/>
          <w:szCs w:val="28"/>
          <w:lang w:val="bg-BG"/>
        </w:rPr>
        <w:t>на пропорционалната изборна система</w:t>
      </w:r>
      <w:r w:rsidR="008E49EB">
        <w:rPr>
          <w:sz w:val="28"/>
          <w:szCs w:val="28"/>
          <w:lang w:val="bg-BG"/>
        </w:rPr>
        <w:t>,</w:t>
      </w:r>
      <w:r w:rsidR="006907EB">
        <w:rPr>
          <w:sz w:val="28"/>
          <w:szCs w:val="28"/>
          <w:lang w:val="bg-BG"/>
        </w:rPr>
        <w:t xml:space="preserve"> предварително събужда едно чувство за реализъм, което ще бъде надградено в последвалите страници. </w:t>
      </w:r>
      <w:r>
        <w:rPr>
          <w:sz w:val="28"/>
          <w:szCs w:val="28"/>
          <w:lang w:val="bg-BG"/>
        </w:rPr>
        <w:t xml:space="preserve">Още една част от монографията изиграва ролята на въвеждаща – тази, която описва </w:t>
      </w:r>
      <w:r w:rsidR="006907EB">
        <w:rPr>
          <w:sz w:val="28"/>
          <w:szCs w:val="28"/>
          <w:lang w:val="bg-BG"/>
        </w:rPr>
        <w:t xml:space="preserve">в детайли </w:t>
      </w:r>
      <w:r>
        <w:rPr>
          <w:sz w:val="28"/>
          <w:szCs w:val="28"/>
          <w:lang w:val="bg-BG"/>
        </w:rPr>
        <w:t xml:space="preserve">функционирането на мажоритарната </w:t>
      </w:r>
      <w:r w:rsidR="006907EB">
        <w:rPr>
          <w:sz w:val="28"/>
          <w:szCs w:val="28"/>
          <w:lang w:val="bg-BG"/>
        </w:rPr>
        <w:t xml:space="preserve">избирателна </w:t>
      </w:r>
      <w:r w:rsidR="00351A8C">
        <w:rPr>
          <w:sz w:val="28"/>
          <w:szCs w:val="28"/>
          <w:lang w:val="bg-BG"/>
        </w:rPr>
        <w:t xml:space="preserve">система </w:t>
      </w:r>
      <w:r w:rsidR="006907EB">
        <w:rPr>
          <w:sz w:val="28"/>
          <w:szCs w:val="28"/>
          <w:lang w:val="bg-BG"/>
        </w:rPr>
        <w:t xml:space="preserve">в </w:t>
      </w:r>
      <w:r w:rsidR="00351A8C">
        <w:rPr>
          <w:sz w:val="28"/>
          <w:szCs w:val="28"/>
          <w:lang w:val="bg-BG"/>
        </w:rPr>
        <w:t>Б</w:t>
      </w:r>
      <w:r>
        <w:rPr>
          <w:sz w:val="28"/>
          <w:szCs w:val="28"/>
          <w:lang w:val="bg-BG"/>
        </w:rPr>
        <w:t>ълг</w:t>
      </w:r>
      <w:r w:rsidR="00351A8C">
        <w:rPr>
          <w:sz w:val="28"/>
          <w:szCs w:val="28"/>
          <w:lang w:val="bg-BG"/>
        </w:rPr>
        <w:t xml:space="preserve">ария </w:t>
      </w:r>
      <w:r w:rsidR="006907EB">
        <w:rPr>
          <w:sz w:val="28"/>
          <w:szCs w:val="28"/>
          <w:lang w:val="bg-BG"/>
        </w:rPr>
        <w:t xml:space="preserve">за националните и субнационалните представителни органи </w:t>
      </w:r>
      <w:r w:rsidR="00351A8C">
        <w:rPr>
          <w:sz w:val="28"/>
          <w:szCs w:val="28"/>
          <w:lang w:val="bg-BG"/>
        </w:rPr>
        <w:t>с нейните плюсове</w:t>
      </w:r>
      <w:r w:rsidR="003F75AD">
        <w:rPr>
          <w:sz w:val="28"/>
          <w:szCs w:val="28"/>
          <w:lang w:val="bg-BG"/>
        </w:rPr>
        <w:t xml:space="preserve">, но и </w:t>
      </w:r>
      <w:r w:rsidR="00351A8C">
        <w:rPr>
          <w:sz w:val="28"/>
          <w:szCs w:val="28"/>
          <w:lang w:val="bg-BG"/>
        </w:rPr>
        <w:t xml:space="preserve">минуси, </w:t>
      </w:r>
      <w:r w:rsidR="003F75AD">
        <w:rPr>
          <w:sz w:val="28"/>
          <w:szCs w:val="28"/>
          <w:lang w:val="bg-BG"/>
        </w:rPr>
        <w:t>продуциращи диспропорционалност. Именно съществуващото непропорционално представителство на местно и централно ниво</w:t>
      </w:r>
      <w:r w:rsidR="000326CF">
        <w:rPr>
          <w:sz w:val="28"/>
          <w:szCs w:val="28"/>
          <w:lang w:val="bg-BG"/>
        </w:rPr>
        <w:t xml:space="preserve">, според автора, </w:t>
      </w:r>
      <w:r w:rsidR="00351A8C">
        <w:rPr>
          <w:sz w:val="28"/>
          <w:szCs w:val="28"/>
          <w:lang w:val="bg-BG"/>
        </w:rPr>
        <w:t>ще предизвика първоначално дебат, а след това и конкретни законо</w:t>
      </w:r>
      <w:r w:rsidR="003F75AD">
        <w:rPr>
          <w:sz w:val="28"/>
          <w:szCs w:val="28"/>
          <w:lang w:val="bg-BG"/>
        </w:rPr>
        <w:t xml:space="preserve">дателни мерки за промяна на мажоритарната система. </w:t>
      </w:r>
      <w:r w:rsidR="002519F3">
        <w:rPr>
          <w:sz w:val="28"/>
          <w:szCs w:val="28"/>
          <w:lang w:val="bg-BG"/>
        </w:rPr>
        <w:t xml:space="preserve">Няколко </w:t>
      </w:r>
      <w:r w:rsidR="00CF702E">
        <w:rPr>
          <w:sz w:val="28"/>
          <w:szCs w:val="28"/>
          <w:lang w:val="bg-BG"/>
        </w:rPr>
        <w:t>са основните изводи</w:t>
      </w:r>
      <w:r w:rsidR="008E49EB">
        <w:rPr>
          <w:sz w:val="28"/>
          <w:szCs w:val="28"/>
          <w:lang w:val="bg-BG"/>
        </w:rPr>
        <w:t>,</w:t>
      </w:r>
      <w:r w:rsidR="00CF702E">
        <w:rPr>
          <w:sz w:val="28"/>
          <w:szCs w:val="28"/>
          <w:lang w:val="bg-BG"/>
        </w:rPr>
        <w:t xml:space="preserve"> до които стига </w:t>
      </w:r>
      <w:r w:rsidR="000326CF">
        <w:rPr>
          <w:sz w:val="28"/>
          <w:szCs w:val="28"/>
          <w:lang w:val="bg-BG"/>
        </w:rPr>
        <w:t xml:space="preserve">Живков </w:t>
      </w:r>
      <w:r w:rsidR="00EE3DAC">
        <w:rPr>
          <w:sz w:val="28"/>
          <w:szCs w:val="28"/>
          <w:lang w:val="bg-BG"/>
        </w:rPr>
        <w:t>–</w:t>
      </w:r>
      <w:r w:rsidR="00725CB5">
        <w:rPr>
          <w:sz w:val="28"/>
          <w:szCs w:val="28"/>
          <w:lang w:val="bg-BG"/>
        </w:rPr>
        <w:t xml:space="preserve"> к</w:t>
      </w:r>
      <w:r w:rsidR="00CF702E">
        <w:rPr>
          <w:sz w:val="28"/>
          <w:szCs w:val="28"/>
          <w:lang w:val="bg-BG"/>
        </w:rPr>
        <w:t xml:space="preserve">ъм 1908 </w:t>
      </w:r>
      <w:r w:rsidR="00725CB5">
        <w:rPr>
          <w:sz w:val="28"/>
          <w:szCs w:val="28"/>
          <w:lang w:val="bg-BG"/>
        </w:rPr>
        <w:t>г.</w:t>
      </w:r>
      <w:r w:rsidR="002519F3">
        <w:rPr>
          <w:sz w:val="28"/>
          <w:szCs w:val="28"/>
          <w:lang w:val="bg-BG"/>
        </w:rPr>
        <w:t xml:space="preserve"> </w:t>
      </w:r>
      <w:r w:rsidR="00CF702E">
        <w:rPr>
          <w:sz w:val="28"/>
          <w:szCs w:val="28"/>
          <w:lang w:val="bg-BG"/>
        </w:rPr>
        <w:t>повечето български партии д</w:t>
      </w:r>
      <w:r w:rsidR="002519F3">
        <w:rPr>
          <w:sz w:val="28"/>
          <w:szCs w:val="28"/>
          <w:lang w:val="bg-BG"/>
        </w:rPr>
        <w:t xml:space="preserve">екларират съгласие и подкрепят </w:t>
      </w:r>
      <w:r w:rsidR="00CF702E">
        <w:rPr>
          <w:sz w:val="28"/>
          <w:szCs w:val="28"/>
          <w:lang w:val="bg-BG"/>
        </w:rPr>
        <w:lastRenderedPageBreak/>
        <w:t xml:space="preserve">въвеждането на пропорционалната </w:t>
      </w:r>
      <w:r w:rsidR="002519F3">
        <w:rPr>
          <w:sz w:val="28"/>
          <w:szCs w:val="28"/>
          <w:lang w:val="bg-BG"/>
        </w:rPr>
        <w:t>система</w:t>
      </w:r>
      <w:r w:rsidR="00CF702E">
        <w:rPr>
          <w:sz w:val="28"/>
          <w:szCs w:val="28"/>
          <w:lang w:val="bg-BG"/>
        </w:rPr>
        <w:t xml:space="preserve"> като част от </w:t>
      </w:r>
      <w:r w:rsidR="002519F3">
        <w:rPr>
          <w:sz w:val="28"/>
          <w:szCs w:val="28"/>
          <w:lang w:val="bg-BG"/>
        </w:rPr>
        <w:t>модернизацията</w:t>
      </w:r>
      <w:r w:rsidR="00CF702E">
        <w:rPr>
          <w:sz w:val="28"/>
          <w:szCs w:val="28"/>
          <w:lang w:val="bg-BG"/>
        </w:rPr>
        <w:t xml:space="preserve"> и институционалното усъвърш</w:t>
      </w:r>
      <w:r w:rsidR="002519F3">
        <w:rPr>
          <w:sz w:val="28"/>
          <w:szCs w:val="28"/>
          <w:lang w:val="bg-BG"/>
        </w:rPr>
        <w:t>енстване на българската държава.  Тяхната цел е прекратяване на служебните победи на вече управля</w:t>
      </w:r>
      <w:r w:rsidR="008E49EB">
        <w:rPr>
          <w:sz w:val="28"/>
          <w:szCs w:val="28"/>
          <w:lang w:val="bg-BG"/>
        </w:rPr>
        <w:t>ващата партия  и създаване на хи</w:t>
      </w:r>
      <w:r w:rsidR="002519F3">
        <w:rPr>
          <w:sz w:val="28"/>
          <w:szCs w:val="28"/>
          <w:lang w:val="bg-BG"/>
        </w:rPr>
        <w:t xml:space="preserve">пермнозинства в парламента, но най-вече в градските общински съвети. </w:t>
      </w:r>
      <w:r w:rsidR="00351A8C">
        <w:rPr>
          <w:sz w:val="28"/>
          <w:szCs w:val="28"/>
          <w:lang w:val="bg-BG"/>
        </w:rPr>
        <w:t>Основната тежест на изложението е върху реформите в електоралното за</w:t>
      </w:r>
      <w:r w:rsidR="007373DC">
        <w:rPr>
          <w:sz w:val="28"/>
          <w:szCs w:val="28"/>
          <w:lang w:val="bg-BG"/>
        </w:rPr>
        <w:t>конодателство от 1909 до 1912 г</w:t>
      </w:r>
      <w:r w:rsidR="00EE3DAC">
        <w:rPr>
          <w:sz w:val="28"/>
          <w:szCs w:val="28"/>
          <w:lang w:val="bg-BG"/>
        </w:rPr>
        <w:t>.</w:t>
      </w:r>
      <w:r w:rsidR="007373DC">
        <w:rPr>
          <w:sz w:val="28"/>
          <w:szCs w:val="28"/>
          <w:lang w:val="bg-BG"/>
        </w:rPr>
        <w:t xml:space="preserve"> при </w:t>
      </w:r>
      <w:r w:rsidR="00725CB5">
        <w:rPr>
          <w:sz w:val="28"/>
          <w:szCs w:val="28"/>
          <w:lang w:val="bg-BG"/>
        </w:rPr>
        <w:t>управленията</w:t>
      </w:r>
      <w:r w:rsidR="007373DC">
        <w:rPr>
          <w:sz w:val="28"/>
          <w:szCs w:val="28"/>
          <w:lang w:val="bg-BG"/>
        </w:rPr>
        <w:t xml:space="preserve"> на Демократическата и на Нар</w:t>
      </w:r>
      <w:r w:rsidR="00EE3DAC">
        <w:rPr>
          <w:sz w:val="28"/>
          <w:szCs w:val="28"/>
          <w:lang w:val="bg-BG"/>
        </w:rPr>
        <w:t>одната и Прогресивнолибералната партии.</w:t>
      </w:r>
      <w:r w:rsidR="007373DC">
        <w:rPr>
          <w:sz w:val="28"/>
          <w:szCs w:val="28"/>
          <w:lang w:val="bg-BG"/>
        </w:rPr>
        <w:t xml:space="preserve"> </w:t>
      </w:r>
      <w:r w:rsidR="00351A8C">
        <w:rPr>
          <w:sz w:val="28"/>
          <w:szCs w:val="28"/>
          <w:lang w:val="bg-BG"/>
        </w:rPr>
        <w:t xml:space="preserve"> С вещина, задълбоченост и обективност са разкрити мотивите, които ги предизвикват, позициите на партийните централи, дебатите в пленарна зала  и конкретните резултати. </w:t>
      </w:r>
      <w:r w:rsidR="007373DC">
        <w:rPr>
          <w:sz w:val="28"/>
          <w:szCs w:val="28"/>
          <w:lang w:val="bg-BG"/>
        </w:rPr>
        <w:t xml:space="preserve">Като много положителен момент може да се отбележи изключително прецизната дисекция, която се прави и която стига до отделни политически </w:t>
      </w:r>
      <w:r w:rsidR="00EE3DAC">
        <w:rPr>
          <w:sz w:val="28"/>
          <w:szCs w:val="28"/>
          <w:lang w:val="bg-BG"/>
        </w:rPr>
        <w:t>лица</w:t>
      </w:r>
      <w:r w:rsidR="008B29E3">
        <w:rPr>
          <w:sz w:val="28"/>
          <w:szCs w:val="28"/>
          <w:lang w:val="bg-BG"/>
        </w:rPr>
        <w:t>/ народ</w:t>
      </w:r>
      <w:r w:rsidR="00EE3DAC">
        <w:rPr>
          <w:sz w:val="28"/>
          <w:szCs w:val="28"/>
          <w:lang w:val="bg-BG"/>
        </w:rPr>
        <w:t>ни п</w:t>
      </w:r>
      <w:r w:rsidR="008B29E3">
        <w:rPr>
          <w:sz w:val="28"/>
          <w:szCs w:val="28"/>
          <w:lang w:val="bg-BG"/>
        </w:rPr>
        <w:t>редставител</w:t>
      </w:r>
      <w:r w:rsidR="00EE3DAC">
        <w:rPr>
          <w:sz w:val="28"/>
          <w:szCs w:val="28"/>
          <w:lang w:val="bg-BG"/>
        </w:rPr>
        <w:t>и</w:t>
      </w:r>
      <w:r w:rsidR="008B29E3">
        <w:rPr>
          <w:sz w:val="28"/>
          <w:szCs w:val="28"/>
          <w:lang w:val="bg-BG"/>
        </w:rPr>
        <w:t xml:space="preserve"> – произход,</w:t>
      </w:r>
      <w:r w:rsidR="00725CB5">
        <w:rPr>
          <w:sz w:val="28"/>
          <w:szCs w:val="28"/>
          <w:lang w:val="bg-BG"/>
        </w:rPr>
        <w:t xml:space="preserve"> занятие</w:t>
      </w:r>
      <w:r w:rsidR="008B29E3">
        <w:rPr>
          <w:sz w:val="28"/>
          <w:szCs w:val="28"/>
          <w:lang w:val="bg-BG"/>
        </w:rPr>
        <w:t>, социални и роднински връзки</w:t>
      </w:r>
      <w:r w:rsidR="00725CB5">
        <w:rPr>
          <w:sz w:val="28"/>
          <w:szCs w:val="28"/>
          <w:lang w:val="bg-BG"/>
        </w:rPr>
        <w:t>. Що се отнася до резултатите от парламентарните избори</w:t>
      </w:r>
      <w:r w:rsidR="00D90199">
        <w:rPr>
          <w:sz w:val="28"/>
          <w:szCs w:val="28"/>
          <w:lang w:val="bg-BG"/>
        </w:rPr>
        <w:t>,</w:t>
      </w:r>
      <w:r w:rsidR="00725CB5">
        <w:rPr>
          <w:sz w:val="28"/>
          <w:szCs w:val="28"/>
          <w:lang w:val="bg-BG"/>
        </w:rPr>
        <w:t xml:space="preserve"> те са </w:t>
      </w:r>
      <w:r w:rsidR="003F75AD">
        <w:rPr>
          <w:sz w:val="28"/>
          <w:szCs w:val="28"/>
          <w:lang w:val="bg-BG"/>
        </w:rPr>
        <w:t xml:space="preserve">представени на ниво </w:t>
      </w:r>
      <w:r w:rsidR="008B29E3">
        <w:rPr>
          <w:sz w:val="28"/>
          <w:szCs w:val="28"/>
          <w:lang w:val="bg-BG"/>
        </w:rPr>
        <w:t xml:space="preserve">отделни околии. </w:t>
      </w:r>
      <w:r w:rsidR="00351A8C">
        <w:rPr>
          <w:sz w:val="28"/>
          <w:szCs w:val="28"/>
          <w:lang w:val="bg-BG"/>
        </w:rPr>
        <w:t>Проследена е еволюцията в</w:t>
      </w:r>
      <w:r w:rsidR="00725CB5">
        <w:rPr>
          <w:sz w:val="28"/>
          <w:szCs w:val="28"/>
          <w:lang w:val="bg-BG"/>
        </w:rPr>
        <w:t xml:space="preserve"> подкрепата на политически</w:t>
      </w:r>
      <w:r w:rsidR="00EE3DAC">
        <w:rPr>
          <w:sz w:val="28"/>
          <w:szCs w:val="28"/>
          <w:lang w:val="bg-BG"/>
        </w:rPr>
        <w:t>те</w:t>
      </w:r>
      <w:r w:rsidR="00725CB5">
        <w:rPr>
          <w:sz w:val="28"/>
          <w:szCs w:val="28"/>
          <w:lang w:val="bg-BG"/>
        </w:rPr>
        <w:t xml:space="preserve"> субекти и</w:t>
      </w:r>
      <w:r w:rsidR="00EE3DAC">
        <w:rPr>
          <w:sz w:val="28"/>
          <w:szCs w:val="28"/>
          <w:lang w:val="bg-BG"/>
        </w:rPr>
        <w:t xml:space="preserve"> обществени организации за </w:t>
      </w:r>
      <w:r w:rsidR="00351A8C">
        <w:rPr>
          <w:sz w:val="28"/>
          <w:szCs w:val="28"/>
          <w:lang w:val="bg-BG"/>
        </w:rPr>
        <w:t>налагането на пропорционалния модел</w:t>
      </w:r>
      <w:r w:rsidR="00EE3DAC">
        <w:rPr>
          <w:sz w:val="28"/>
          <w:szCs w:val="28"/>
          <w:lang w:val="bg-BG"/>
        </w:rPr>
        <w:t xml:space="preserve">, </w:t>
      </w:r>
      <w:r w:rsidR="00351A8C">
        <w:rPr>
          <w:sz w:val="28"/>
          <w:szCs w:val="28"/>
          <w:lang w:val="bg-BG"/>
        </w:rPr>
        <w:t xml:space="preserve"> първоначално</w:t>
      </w:r>
      <w:r w:rsidR="00B24C78">
        <w:rPr>
          <w:sz w:val="28"/>
          <w:szCs w:val="28"/>
          <w:lang w:val="bg-BG"/>
        </w:rPr>
        <w:t xml:space="preserve"> „експериментално“ </w:t>
      </w:r>
      <w:r w:rsidR="00351A8C">
        <w:rPr>
          <w:sz w:val="28"/>
          <w:szCs w:val="28"/>
          <w:lang w:val="bg-BG"/>
        </w:rPr>
        <w:t xml:space="preserve">в изборите за градски и окръжни съвети, след това частично </w:t>
      </w:r>
      <w:r w:rsidR="007373DC">
        <w:rPr>
          <w:sz w:val="28"/>
          <w:szCs w:val="28"/>
          <w:lang w:val="bg-BG"/>
        </w:rPr>
        <w:t xml:space="preserve">или смесено (за два окръга) </w:t>
      </w:r>
      <w:r w:rsidR="00492003">
        <w:rPr>
          <w:sz w:val="28"/>
          <w:szCs w:val="28"/>
          <w:lang w:val="bg-BG"/>
        </w:rPr>
        <w:t xml:space="preserve">и </w:t>
      </w:r>
      <w:r w:rsidR="00351A8C">
        <w:rPr>
          <w:sz w:val="28"/>
          <w:szCs w:val="28"/>
          <w:lang w:val="bg-BG"/>
        </w:rPr>
        <w:t>накрая изцяло</w:t>
      </w:r>
      <w:r w:rsidR="00EE3DAC">
        <w:rPr>
          <w:sz w:val="28"/>
          <w:szCs w:val="28"/>
          <w:lang w:val="bg-BG"/>
        </w:rPr>
        <w:t xml:space="preserve"> </w:t>
      </w:r>
      <w:r w:rsidR="00351A8C">
        <w:rPr>
          <w:sz w:val="28"/>
          <w:szCs w:val="28"/>
          <w:lang w:val="bg-BG"/>
        </w:rPr>
        <w:t>в парламентарните избор</w:t>
      </w:r>
      <w:r w:rsidR="00492003">
        <w:rPr>
          <w:sz w:val="28"/>
          <w:szCs w:val="28"/>
          <w:lang w:val="bg-BG"/>
        </w:rPr>
        <w:t>и</w:t>
      </w:r>
      <w:r w:rsidR="00EE3DAC">
        <w:rPr>
          <w:sz w:val="28"/>
          <w:szCs w:val="28"/>
          <w:lang w:val="bg-BG"/>
        </w:rPr>
        <w:t>. Пр</w:t>
      </w:r>
      <w:r w:rsidR="003430D7">
        <w:rPr>
          <w:sz w:val="28"/>
          <w:szCs w:val="28"/>
          <w:lang w:val="bg-BG"/>
        </w:rPr>
        <w:t xml:space="preserve">едставено е и </w:t>
      </w:r>
      <w:r w:rsidR="00492003">
        <w:rPr>
          <w:sz w:val="28"/>
          <w:szCs w:val="28"/>
          <w:lang w:val="bg-BG"/>
        </w:rPr>
        <w:t>провеждането на самите избори по новите правила.</w:t>
      </w:r>
      <w:r w:rsidR="008B29E3">
        <w:rPr>
          <w:sz w:val="28"/>
          <w:szCs w:val="28"/>
          <w:lang w:val="bg-BG"/>
        </w:rPr>
        <w:t xml:space="preserve"> Живков не се п</w:t>
      </w:r>
      <w:r w:rsidR="007373DC">
        <w:rPr>
          <w:sz w:val="28"/>
          <w:szCs w:val="28"/>
          <w:lang w:val="bg-BG"/>
        </w:rPr>
        <w:t xml:space="preserve">одвежда по високопарните декларации на защитниците на пропорционалната система и отбелязва, че </w:t>
      </w:r>
      <w:r w:rsidR="008B29E3">
        <w:rPr>
          <w:sz w:val="28"/>
          <w:szCs w:val="28"/>
          <w:lang w:val="bg-BG"/>
        </w:rPr>
        <w:t>наре</w:t>
      </w:r>
      <w:r w:rsidR="007373DC">
        <w:rPr>
          <w:sz w:val="28"/>
          <w:szCs w:val="28"/>
          <w:lang w:val="bg-BG"/>
        </w:rPr>
        <w:t xml:space="preserve">д с желанието да се </w:t>
      </w:r>
      <w:r w:rsidR="008B29E3">
        <w:rPr>
          <w:sz w:val="28"/>
          <w:szCs w:val="28"/>
          <w:lang w:val="bg-BG"/>
        </w:rPr>
        <w:t>подсигури</w:t>
      </w:r>
      <w:r w:rsidR="007373DC">
        <w:rPr>
          <w:sz w:val="28"/>
          <w:szCs w:val="28"/>
          <w:lang w:val="bg-BG"/>
        </w:rPr>
        <w:t xml:space="preserve"> </w:t>
      </w:r>
      <w:r w:rsidR="008B29E3">
        <w:rPr>
          <w:sz w:val="28"/>
          <w:szCs w:val="28"/>
          <w:lang w:val="bg-BG"/>
        </w:rPr>
        <w:t>представителност</w:t>
      </w:r>
      <w:r w:rsidR="00EE3DAC">
        <w:rPr>
          <w:sz w:val="28"/>
          <w:szCs w:val="28"/>
          <w:lang w:val="bg-BG"/>
        </w:rPr>
        <w:t xml:space="preserve"> на опозиционните групи</w:t>
      </w:r>
      <w:r w:rsidR="00D90199">
        <w:rPr>
          <w:sz w:val="28"/>
          <w:szCs w:val="28"/>
          <w:lang w:val="bg-BG"/>
        </w:rPr>
        <w:t>,</w:t>
      </w:r>
      <w:r w:rsidR="00EE3DAC">
        <w:rPr>
          <w:sz w:val="28"/>
          <w:szCs w:val="28"/>
          <w:lang w:val="bg-BG"/>
        </w:rPr>
        <w:t xml:space="preserve"> </w:t>
      </w:r>
      <w:r w:rsidR="007373DC">
        <w:rPr>
          <w:sz w:val="28"/>
          <w:szCs w:val="28"/>
          <w:lang w:val="bg-BG"/>
        </w:rPr>
        <w:t xml:space="preserve">се цели </w:t>
      </w:r>
      <w:r w:rsidR="00EE3DAC">
        <w:rPr>
          <w:sz w:val="28"/>
          <w:szCs w:val="28"/>
          <w:lang w:val="bg-BG"/>
        </w:rPr>
        <w:t xml:space="preserve">и </w:t>
      </w:r>
      <w:r w:rsidR="007373DC">
        <w:rPr>
          <w:sz w:val="28"/>
          <w:szCs w:val="28"/>
          <w:lang w:val="bg-BG"/>
        </w:rPr>
        <w:t>гарантиране на деп</w:t>
      </w:r>
      <w:r w:rsidR="006A7905">
        <w:rPr>
          <w:sz w:val="28"/>
          <w:szCs w:val="28"/>
          <w:lang w:val="bg-BG"/>
        </w:rPr>
        <w:t xml:space="preserve">утатски места за техните лидери, поне в първия етап на реформата. Неудовлетвореността от смесената система, според него, предизвиква пълен консенсус за въвеждането на </w:t>
      </w:r>
      <w:r w:rsidR="00EE3DAC">
        <w:rPr>
          <w:sz w:val="28"/>
          <w:szCs w:val="28"/>
          <w:lang w:val="bg-BG"/>
        </w:rPr>
        <w:t xml:space="preserve">изцяло </w:t>
      </w:r>
      <w:r w:rsidR="006A7905">
        <w:rPr>
          <w:sz w:val="28"/>
          <w:szCs w:val="28"/>
          <w:lang w:val="bg-BG"/>
        </w:rPr>
        <w:t xml:space="preserve">пропорционалната </w:t>
      </w:r>
      <w:r w:rsidR="00132A22">
        <w:rPr>
          <w:sz w:val="28"/>
          <w:szCs w:val="28"/>
          <w:lang w:val="bg-BG"/>
        </w:rPr>
        <w:t>за избори на всички видове представителни органи</w:t>
      </w:r>
      <w:r w:rsidR="00EE3DAC">
        <w:rPr>
          <w:sz w:val="28"/>
          <w:szCs w:val="28"/>
          <w:lang w:val="bg-BG"/>
        </w:rPr>
        <w:t xml:space="preserve">. Този консенсус е </w:t>
      </w:r>
      <w:r w:rsidR="00975F0B">
        <w:rPr>
          <w:sz w:val="28"/>
          <w:szCs w:val="28"/>
          <w:lang w:val="bg-BG"/>
        </w:rPr>
        <w:t>израз на идеализ</w:t>
      </w:r>
      <w:r w:rsidR="00EE3DAC">
        <w:rPr>
          <w:sz w:val="28"/>
          <w:szCs w:val="28"/>
          <w:lang w:val="bg-BG"/>
        </w:rPr>
        <w:t>ма и</w:t>
      </w:r>
      <w:r w:rsidR="00975F0B">
        <w:rPr>
          <w:sz w:val="28"/>
          <w:szCs w:val="28"/>
          <w:lang w:val="bg-BG"/>
        </w:rPr>
        <w:t xml:space="preserve"> стремеж</w:t>
      </w:r>
      <w:r w:rsidR="00EE3DAC">
        <w:rPr>
          <w:sz w:val="28"/>
          <w:szCs w:val="28"/>
          <w:lang w:val="bg-BG"/>
        </w:rPr>
        <w:t>а</w:t>
      </w:r>
      <w:r w:rsidR="00975F0B">
        <w:rPr>
          <w:sz w:val="28"/>
          <w:szCs w:val="28"/>
          <w:lang w:val="bg-BG"/>
        </w:rPr>
        <w:t xml:space="preserve"> </w:t>
      </w:r>
      <w:r w:rsidR="00EE3DAC">
        <w:rPr>
          <w:sz w:val="28"/>
          <w:szCs w:val="28"/>
          <w:lang w:val="bg-BG"/>
        </w:rPr>
        <w:t xml:space="preserve">на партиите </w:t>
      </w:r>
      <w:r w:rsidR="00975F0B">
        <w:rPr>
          <w:sz w:val="28"/>
          <w:szCs w:val="28"/>
          <w:lang w:val="bg-BG"/>
        </w:rPr>
        <w:t xml:space="preserve">към  прозападна модерност, </w:t>
      </w:r>
      <w:r w:rsidR="006A7905">
        <w:rPr>
          <w:sz w:val="28"/>
          <w:szCs w:val="28"/>
          <w:lang w:val="bg-BG"/>
        </w:rPr>
        <w:t xml:space="preserve">условие за </w:t>
      </w:r>
      <w:r w:rsidR="002844C9">
        <w:rPr>
          <w:sz w:val="28"/>
          <w:szCs w:val="28"/>
          <w:lang w:val="bg-BG"/>
        </w:rPr>
        <w:t xml:space="preserve">тяхното </w:t>
      </w:r>
      <w:r w:rsidR="006A7905">
        <w:rPr>
          <w:sz w:val="28"/>
          <w:szCs w:val="28"/>
          <w:lang w:val="bg-BG"/>
        </w:rPr>
        <w:t xml:space="preserve">по-справедливо представителство </w:t>
      </w:r>
      <w:r w:rsidR="00132A22">
        <w:rPr>
          <w:sz w:val="28"/>
          <w:szCs w:val="28"/>
          <w:lang w:val="bg-BG"/>
        </w:rPr>
        <w:t xml:space="preserve">и елиминиране на „личния режим“ на монарха, </w:t>
      </w:r>
      <w:r w:rsidR="006A7905">
        <w:rPr>
          <w:sz w:val="28"/>
          <w:szCs w:val="28"/>
          <w:lang w:val="bg-BG"/>
        </w:rPr>
        <w:t xml:space="preserve">но и </w:t>
      </w:r>
      <w:r w:rsidR="002844C9">
        <w:rPr>
          <w:sz w:val="28"/>
          <w:szCs w:val="28"/>
          <w:lang w:val="bg-BG"/>
        </w:rPr>
        <w:lastRenderedPageBreak/>
        <w:t xml:space="preserve">проява на стремежа им </w:t>
      </w:r>
      <w:r w:rsidR="006A7905">
        <w:rPr>
          <w:sz w:val="28"/>
          <w:szCs w:val="28"/>
          <w:lang w:val="bg-BG"/>
        </w:rPr>
        <w:t xml:space="preserve">за постигане на </w:t>
      </w:r>
      <w:r w:rsidR="002844C9">
        <w:rPr>
          <w:sz w:val="28"/>
          <w:szCs w:val="28"/>
          <w:lang w:val="bg-BG"/>
        </w:rPr>
        <w:t xml:space="preserve">собственото си </w:t>
      </w:r>
      <w:r w:rsidR="006A7905">
        <w:rPr>
          <w:sz w:val="28"/>
          <w:szCs w:val="28"/>
          <w:lang w:val="bg-BG"/>
        </w:rPr>
        <w:t xml:space="preserve">организационно укрепване и налагане на своеобразна партокрация, вместо истинска демокрация. </w:t>
      </w:r>
      <w:r w:rsidR="00975F0B">
        <w:rPr>
          <w:sz w:val="28"/>
          <w:szCs w:val="28"/>
          <w:lang w:val="bg-BG"/>
        </w:rPr>
        <w:t xml:space="preserve">Като допълнителен мотив </w:t>
      </w:r>
      <w:r w:rsidR="002844C9">
        <w:rPr>
          <w:sz w:val="28"/>
          <w:szCs w:val="28"/>
          <w:lang w:val="bg-BG"/>
        </w:rPr>
        <w:t xml:space="preserve">Живков изтъква </w:t>
      </w:r>
      <w:r w:rsidR="00975F0B">
        <w:rPr>
          <w:sz w:val="28"/>
          <w:szCs w:val="28"/>
          <w:lang w:val="bg-BG"/>
        </w:rPr>
        <w:t>опасенията на буржоазния лагер от нарастващите позиции на Българския земеделски народен съюз. Разгледаните</w:t>
      </w:r>
      <w:r w:rsidR="00090DB8">
        <w:rPr>
          <w:sz w:val="28"/>
          <w:szCs w:val="28"/>
          <w:lang w:val="bg-BG"/>
        </w:rPr>
        <w:t xml:space="preserve"> избори за ХVІ и ХVІІ О</w:t>
      </w:r>
      <w:r w:rsidR="00975F0B">
        <w:rPr>
          <w:sz w:val="28"/>
          <w:szCs w:val="28"/>
          <w:lang w:val="bg-BG"/>
        </w:rPr>
        <w:t>би</w:t>
      </w:r>
      <w:r w:rsidR="00D90199">
        <w:rPr>
          <w:sz w:val="28"/>
          <w:szCs w:val="28"/>
          <w:lang w:val="bg-BG"/>
        </w:rPr>
        <w:t>кновено народно събрание, освен</w:t>
      </w:r>
      <w:r w:rsidR="00975F0B">
        <w:rPr>
          <w:sz w:val="28"/>
          <w:szCs w:val="28"/>
          <w:lang w:val="bg-BG"/>
        </w:rPr>
        <w:t xml:space="preserve"> че са първите</w:t>
      </w:r>
      <w:r w:rsidR="00D90199">
        <w:rPr>
          <w:sz w:val="28"/>
          <w:szCs w:val="28"/>
          <w:lang w:val="bg-BG"/>
        </w:rPr>
        <w:t>,</w:t>
      </w:r>
      <w:r w:rsidR="00975F0B">
        <w:rPr>
          <w:sz w:val="28"/>
          <w:szCs w:val="28"/>
          <w:lang w:val="bg-BG"/>
        </w:rPr>
        <w:t xml:space="preserve"> които трябва да покажат предимствата и недостатъците на нов</w:t>
      </w:r>
      <w:r w:rsidR="00090DB8">
        <w:rPr>
          <w:sz w:val="28"/>
          <w:szCs w:val="28"/>
          <w:lang w:val="bg-BG"/>
        </w:rPr>
        <w:t xml:space="preserve">ите </w:t>
      </w:r>
      <w:r w:rsidR="002844C9">
        <w:rPr>
          <w:sz w:val="28"/>
          <w:szCs w:val="28"/>
          <w:lang w:val="bg-BG"/>
        </w:rPr>
        <w:t>електорални</w:t>
      </w:r>
      <w:r w:rsidR="00090DB8">
        <w:rPr>
          <w:sz w:val="28"/>
          <w:szCs w:val="28"/>
          <w:lang w:val="bg-BG"/>
        </w:rPr>
        <w:t xml:space="preserve"> правила</w:t>
      </w:r>
      <w:r w:rsidR="002844C9">
        <w:rPr>
          <w:sz w:val="28"/>
          <w:szCs w:val="28"/>
          <w:lang w:val="bg-BG"/>
        </w:rPr>
        <w:t>,</w:t>
      </w:r>
      <w:r w:rsidR="00090DB8">
        <w:rPr>
          <w:sz w:val="28"/>
          <w:szCs w:val="28"/>
          <w:lang w:val="bg-BG"/>
        </w:rPr>
        <w:t xml:space="preserve"> </w:t>
      </w:r>
      <w:r w:rsidR="00975F0B">
        <w:rPr>
          <w:sz w:val="28"/>
          <w:szCs w:val="28"/>
          <w:lang w:val="bg-BG"/>
        </w:rPr>
        <w:t>са използвани</w:t>
      </w:r>
      <w:r w:rsidR="00D90199">
        <w:rPr>
          <w:sz w:val="28"/>
          <w:szCs w:val="28"/>
          <w:lang w:val="bg-BG"/>
        </w:rPr>
        <w:t>,</w:t>
      </w:r>
      <w:r w:rsidR="00975F0B">
        <w:rPr>
          <w:sz w:val="28"/>
          <w:szCs w:val="28"/>
          <w:lang w:val="bg-BG"/>
        </w:rPr>
        <w:t xml:space="preserve"> за да </w:t>
      </w:r>
      <w:r w:rsidR="00132A22">
        <w:rPr>
          <w:sz w:val="28"/>
          <w:szCs w:val="28"/>
          <w:lang w:val="bg-BG"/>
        </w:rPr>
        <w:t>се разсе</w:t>
      </w:r>
      <w:r w:rsidR="00D90199">
        <w:rPr>
          <w:sz w:val="28"/>
          <w:szCs w:val="28"/>
          <w:lang w:val="bg-BG"/>
        </w:rPr>
        <w:t>ят</w:t>
      </w:r>
      <w:r w:rsidR="00132A22">
        <w:rPr>
          <w:sz w:val="28"/>
          <w:szCs w:val="28"/>
          <w:lang w:val="bg-BG"/>
        </w:rPr>
        <w:t xml:space="preserve"> натрупаните </w:t>
      </w:r>
      <w:r w:rsidR="00975F0B">
        <w:rPr>
          <w:sz w:val="28"/>
          <w:szCs w:val="28"/>
          <w:lang w:val="bg-BG"/>
        </w:rPr>
        <w:t xml:space="preserve">през годините митове около тяхното провеждане.  </w:t>
      </w:r>
    </w:p>
    <w:p w:rsidR="00EA6277" w:rsidRPr="005D4029" w:rsidRDefault="00132A22" w:rsidP="00132A2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Изследването е написано на високонаучен език, но се чете леко и с  удоволствие. Читателят би бил улеснен</w:t>
      </w:r>
      <w:r w:rsidR="00D90199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ако някои от използваните в него професионални термини и формули биха били пояснени в текста или под линия. </w:t>
      </w:r>
      <w:r w:rsidR="00764673">
        <w:rPr>
          <w:rFonts w:ascii="Times New Roman" w:hAnsi="Times New Roman" w:cs="Times New Roman"/>
          <w:sz w:val="28"/>
          <w:szCs w:val="28"/>
          <w:lang w:val="bg-BG"/>
        </w:rPr>
        <w:t>За сметка н</w:t>
      </w:r>
      <w:r w:rsidR="00D90199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764673">
        <w:rPr>
          <w:rFonts w:ascii="Times New Roman" w:hAnsi="Times New Roman" w:cs="Times New Roman"/>
          <w:sz w:val="28"/>
          <w:szCs w:val="28"/>
          <w:lang w:val="bg-BG"/>
        </w:rPr>
        <w:t xml:space="preserve"> това голям плюс са приложените таблици, списъци, електорални карти, факсимилета на документи и фотографии. То е оригинално със сериозни научни приноси, без да се забелязват каквито и да е елементи на плагиатство. </w:t>
      </w:r>
    </w:p>
    <w:p w:rsidR="00055147" w:rsidRPr="005D4029" w:rsidRDefault="00E17546" w:rsidP="00E17546">
      <w:pPr>
        <w:pStyle w:val="a3"/>
        <w:spacing w:line="360" w:lineRule="auto"/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заключение, </w:t>
      </w:r>
      <w:r w:rsidR="00055147" w:rsidRPr="005D4029">
        <w:rPr>
          <w:sz w:val="28"/>
          <w:szCs w:val="28"/>
          <w:lang w:val="bg-BG"/>
        </w:rPr>
        <w:t xml:space="preserve">демонстрираните преподавателски и изследователските качества и способности на д-р </w:t>
      </w:r>
      <w:r w:rsidR="00055147">
        <w:rPr>
          <w:sz w:val="28"/>
          <w:szCs w:val="28"/>
          <w:lang w:val="bg-BG"/>
        </w:rPr>
        <w:t xml:space="preserve">Светослав Живков </w:t>
      </w:r>
      <w:r w:rsidR="00055147" w:rsidRPr="005D4029">
        <w:rPr>
          <w:sz w:val="28"/>
          <w:szCs w:val="28"/>
          <w:lang w:val="bg-BG"/>
        </w:rPr>
        <w:t>ме карат напълно убедено да считам, че той в най-висока степен отговаря на изискванията за заемане на конкурсната академична длъжност „доцент“, област на висшето образование 2.2. История и археология (Нова</w:t>
      </w:r>
      <w:r>
        <w:rPr>
          <w:sz w:val="28"/>
          <w:szCs w:val="28"/>
          <w:lang w:val="bg-BG"/>
        </w:rPr>
        <w:t xml:space="preserve"> българска история (1878 - 1944</w:t>
      </w:r>
      <w:r w:rsidR="002844C9">
        <w:rPr>
          <w:sz w:val="28"/>
          <w:szCs w:val="28"/>
          <w:lang w:val="bg-BG"/>
        </w:rPr>
        <w:t>)</w:t>
      </w:r>
      <w:r w:rsidR="00055147" w:rsidRPr="005D4029">
        <w:rPr>
          <w:sz w:val="28"/>
          <w:szCs w:val="28"/>
          <w:lang w:val="bg-BG"/>
        </w:rPr>
        <w:t>.</w:t>
      </w:r>
    </w:p>
    <w:p w:rsidR="00EA6277" w:rsidRPr="005D4029" w:rsidRDefault="00EA6277" w:rsidP="00EA6277">
      <w:pPr>
        <w:pStyle w:val="a3"/>
        <w:spacing w:line="360" w:lineRule="auto"/>
        <w:ind w:firstLine="851"/>
        <w:jc w:val="both"/>
        <w:rPr>
          <w:sz w:val="28"/>
          <w:szCs w:val="28"/>
          <w:lang w:val="bg-BG"/>
        </w:rPr>
      </w:pPr>
    </w:p>
    <w:p w:rsidR="00032AB4" w:rsidRPr="005D4029" w:rsidRDefault="004D0B31" w:rsidP="00032AB4">
      <w:pPr>
        <w:spacing w:line="25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София, 15</w:t>
      </w:r>
      <w:r w:rsidR="00EA6277" w:rsidRPr="005D4029">
        <w:rPr>
          <w:rFonts w:cs="Times New Roman"/>
          <w:sz w:val="28"/>
          <w:szCs w:val="28"/>
        </w:rPr>
        <w:t>.10. 2022</w:t>
      </w:r>
      <w:r w:rsidR="00EA6277" w:rsidRPr="005D4029">
        <w:rPr>
          <w:rFonts w:cs="Times New Roman"/>
          <w:sz w:val="28"/>
          <w:szCs w:val="28"/>
        </w:rPr>
        <w:tab/>
      </w:r>
      <w:r w:rsidR="00032AB4">
        <w:rPr>
          <w:rFonts w:cs="Times New Roman"/>
          <w:position w:val="-5"/>
          <w:sz w:val="28"/>
          <w:szCs w:val="28"/>
        </w:rPr>
        <w:t xml:space="preserve">     </w:t>
      </w:r>
      <w:r w:rsidR="00EC7515" w:rsidRPr="005D4029">
        <w:rPr>
          <w:rFonts w:cs="Times New Roman"/>
          <w:sz w:val="28"/>
          <w:szCs w:val="28"/>
        </w:rPr>
        <w:t xml:space="preserve">Рецензент: </w:t>
      </w:r>
      <w:r w:rsidR="00032AB4" w:rsidRPr="005D4029">
        <w:rPr>
          <w:rFonts w:cs="Times New Roman"/>
          <w:sz w:val="28"/>
          <w:szCs w:val="28"/>
        </w:rPr>
        <w:t>проф. д-р Веселин Янчев</w:t>
      </w:r>
    </w:p>
    <w:p w:rsidR="00032AB4" w:rsidRPr="005D4029" w:rsidRDefault="00032AB4" w:rsidP="00032AB4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EC7515" w:rsidRPr="005D4029" w:rsidRDefault="00EC7515" w:rsidP="002844C9">
      <w:pPr>
        <w:spacing w:line="360" w:lineRule="auto"/>
        <w:ind w:firstLine="0"/>
        <w:jc w:val="both"/>
        <w:rPr>
          <w:rFonts w:cs="Times New Roman"/>
          <w:sz w:val="28"/>
          <w:szCs w:val="28"/>
        </w:rPr>
      </w:pPr>
    </w:p>
    <w:p w:rsidR="00EC7515" w:rsidRPr="005D4029" w:rsidRDefault="00EC7515" w:rsidP="00E93D41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B4375D" w:rsidRPr="005D4029" w:rsidRDefault="00B4375D" w:rsidP="00B4375D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5D4029">
        <w:rPr>
          <w:rFonts w:cs="Times New Roman"/>
          <w:sz w:val="28"/>
          <w:szCs w:val="28"/>
        </w:rPr>
        <w:t>.</w:t>
      </w:r>
    </w:p>
    <w:p w:rsidR="00EC7515" w:rsidRPr="005D4029" w:rsidRDefault="00EC7515" w:rsidP="00EC7515">
      <w:pPr>
        <w:pStyle w:val="a3"/>
        <w:spacing w:line="360" w:lineRule="auto"/>
        <w:jc w:val="both"/>
        <w:rPr>
          <w:sz w:val="28"/>
          <w:szCs w:val="28"/>
          <w:lang w:val="bg-BG"/>
        </w:rPr>
      </w:pPr>
    </w:p>
    <w:sectPr w:rsidR="00EC7515" w:rsidRPr="005D4029" w:rsidSect="00811A86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10" w:rsidRDefault="001D0210" w:rsidP="004D0B31">
      <w:pPr>
        <w:spacing w:line="240" w:lineRule="auto"/>
      </w:pPr>
      <w:r>
        <w:separator/>
      </w:r>
    </w:p>
  </w:endnote>
  <w:endnote w:type="continuationSeparator" w:id="0">
    <w:p w:rsidR="001D0210" w:rsidRDefault="001D0210" w:rsidP="004D0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19627"/>
      <w:docPartObj>
        <w:docPartGallery w:val="Page Numbers (Bottom of Page)"/>
        <w:docPartUnique/>
      </w:docPartObj>
    </w:sdtPr>
    <w:sdtEndPr/>
    <w:sdtContent>
      <w:p w:rsidR="004D0B31" w:rsidRDefault="004D0B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546">
          <w:rPr>
            <w:noProof/>
          </w:rPr>
          <w:t>9</w:t>
        </w:r>
        <w:r>
          <w:fldChar w:fldCharType="end"/>
        </w:r>
      </w:p>
    </w:sdtContent>
  </w:sdt>
  <w:p w:rsidR="004D0B31" w:rsidRDefault="004D0B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10" w:rsidRDefault="001D0210" w:rsidP="004D0B31">
      <w:pPr>
        <w:spacing w:line="240" w:lineRule="auto"/>
      </w:pPr>
      <w:r>
        <w:separator/>
      </w:r>
    </w:p>
  </w:footnote>
  <w:footnote w:type="continuationSeparator" w:id="0">
    <w:p w:rsidR="001D0210" w:rsidRDefault="001D0210" w:rsidP="004D0B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4820"/>
    <w:multiLevelType w:val="hybridMultilevel"/>
    <w:tmpl w:val="39F6F0E6"/>
    <w:lvl w:ilvl="0" w:tplc="4FC6E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82"/>
    <w:rsid w:val="0001309C"/>
    <w:rsid w:val="00026D50"/>
    <w:rsid w:val="000321A1"/>
    <w:rsid w:val="000326CF"/>
    <w:rsid w:val="00032AB4"/>
    <w:rsid w:val="00044A11"/>
    <w:rsid w:val="00055147"/>
    <w:rsid w:val="00090DB8"/>
    <w:rsid w:val="00094B64"/>
    <w:rsid w:val="000962C1"/>
    <w:rsid w:val="00132A22"/>
    <w:rsid w:val="00150D5C"/>
    <w:rsid w:val="001656B6"/>
    <w:rsid w:val="001656BC"/>
    <w:rsid w:val="001C74CF"/>
    <w:rsid w:val="001D0210"/>
    <w:rsid w:val="00247750"/>
    <w:rsid w:val="002519F3"/>
    <w:rsid w:val="00251FAC"/>
    <w:rsid w:val="002556DD"/>
    <w:rsid w:val="002602FA"/>
    <w:rsid w:val="00274C4D"/>
    <w:rsid w:val="002844C9"/>
    <w:rsid w:val="002A5483"/>
    <w:rsid w:val="002A7709"/>
    <w:rsid w:val="002B5164"/>
    <w:rsid w:val="002C5A98"/>
    <w:rsid w:val="00306541"/>
    <w:rsid w:val="00322B40"/>
    <w:rsid w:val="003430D7"/>
    <w:rsid w:val="00351A8C"/>
    <w:rsid w:val="003559F8"/>
    <w:rsid w:val="00374968"/>
    <w:rsid w:val="00390823"/>
    <w:rsid w:val="003F75AD"/>
    <w:rsid w:val="00432812"/>
    <w:rsid w:val="00474392"/>
    <w:rsid w:val="00492003"/>
    <w:rsid w:val="004966C9"/>
    <w:rsid w:val="004B0AB8"/>
    <w:rsid w:val="004B5E95"/>
    <w:rsid w:val="004C1EAD"/>
    <w:rsid w:val="004D0B31"/>
    <w:rsid w:val="005134B0"/>
    <w:rsid w:val="00522D40"/>
    <w:rsid w:val="00544E1F"/>
    <w:rsid w:val="00566FBE"/>
    <w:rsid w:val="0057316E"/>
    <w:rsid w:val="005C7307"/>
    <w:rsid w:val="005D4029"/>
    <w:rsid w:val="00615415"/>
    <w:rsid w:val="00616760"/>
    <w:rsid w:val="00631C50"/>
    <w:rsid w:val="006614E1"/>
    <w:rsid w:val="006663D3"/>
    <w:rsid w:val="006907EB"/>
    <w:rsid w:val="00697DF3"/>
    <w:rsid w:val="006A7905"/>
    <w:rsid w:val="006B107D"/>
    <w:rsid w:val="00725CB5"/>
    <w:rsid w:val="007349AA"/>
    <w:rsid w:val="00736044"/>
    <w:rsid w:val="007369F9"/>
    <w:rsid w:val="007373DC"/>
    <w:rsid w:val="00764673"/>
    <w:rsid w:val="0078211D"/>
    <w:rsid w:val="007C7018"/>
    <w:rsid w:val="00811A86"/>
    <w:rsid w:val="008254EF"/>
    <w:rsid w:val="00826071"/>
    <w:rsid w:val="00832ECA"/>
    <w:rsid w:val="008425AE"/>
    <w:rsid w:val="00850F43"/>
    <w:rsid w:val="008557A7"/>
    <w:rsid w:val="00867C65"/>
    <w:rsid w:val="008A6F0E"/>
    <w:rsid w:val="008B29E3"/>
    <w:rsid w:val="008C3A73"/>
    <w:rsid w:val="008E49EB"/>
    <w:rsid w:val="008F6B40"/>
    <w:rsid w:val="00914739"/>
    <w:rsid w:val="00922B1E"/>
    <w:rsid w:val="00922DD5"/>
    <w:rsid w:val="00953CE3"/>
    <w:rsid w:val="009560EC"/>
    <w:rsid w:val="009663B7"/>
    <w:rsid w:val="00975F0B"/>
    <w:rsid w:val="009A79EC"/>
    <w:rsid w:val="009E20C7"/>
    <w:rsid w:val="00A405EF"/>
    <w:rsid w:val="00A53CDB"/>
    <w:rsid w:val="00A64241"/>
    <w:rsid w:val="00A667D4"/>
    <w:rsid w:val="00A71CF5"/>
    <w:rsid w:val="00A753CC"/>
    <w:rsid w:val="00AD204A"/>
    <w:rsid w:val="00AE5984"/>
    <w:rsid w:val="00B0559E"/>
    <w:rsid w:val="00B24C78"/>
    <w:rsid w:val="00B4375D"/>
    <w:rsid w:val="00B83640"/>
    <w:rsid w:val="00B957A6"/>
    <w:rsid w:val="00BD0683"/>
    <w:rsid w:val="00BD0A82"/>
    <w:rsid w:val="00BF53F6"/>
    <w:rsid w:val="00C42A6F"/>
    <w:rsid w:val="00C701C8"/>
    <w:rsid w:val="00C7275F"/>
    <w:rsid w:val="00C731D6"/>
    <w:rsid w:val="00CD2139"/>
    <w:rsid w:val="00CE1BF0"/>
    <w:rsid w:val="00CF702E"/>
    <w:rsid w:val="00D11A71"/>
    <w:rsid w:val="00D41743"/>
    <w:rsid w:val="00D90199"/>
    <w:rsid w:val="00DA559B"/>
    <w:rsid w:val="00DB33C0"/>
    <w:rsid w:val="00DC2A93"/>
    <w:rsid w:val="00DE53AA"/>
    <w:rsid w:val="00E17546"/>
    <w:rsid w:val="00E53948"/>
    <w:rsid w:val="00E627A0"/>
    <w:rsid w:val="00E64CC4"/>
    <w:rsid w:val="00E71809"/>
    <w:rsid w:val="00E91C26"/>
    <w:rsid w:val="00E93D41"/>
    <w:rsid w:val="00EA6277"/>
    <w:rsid w:val="00EB715D"/>
    <w:rsid w:val="00EC7515"/>
    <w:rsid w:val="00EE3DAC"/>
    <w:rsid w:val="00F05B40"/>
    <w:rsid w:val="00F754A4"/>
    <w:rsid w:val="00FA05E8"/>
    <w:rsid w:val="00FB6D98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A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en-US"/>
    </w:rPr>
  </w:style>
  <w:style w:type="paragraph" w:styleId="a4">
    <w:name w:val="Plain Text"/>
    <w:basedOn w:val="a"/>
    <w:link w:val="a5"/>
    <w:uiPriority w:val="99"/>
    <w:unhideWhenUsed/>
    <w:rsid w:val="00B4375D"/>
    <w:pPr>
      <w:spacing w:line="240" w:lineRule="auto"/>
      <w:ind w:firstLine="0"/>
    </w:pPr>
    <w:rPr>
      <w:rFonts w:ascii="Consolas" w:hAnsi="Consolas"/>
      <w:sz w:val="21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rsid w:val="00B4375D"/>
    <w:rPr>
      <w:rFonts w:ascii="Consolas" w:hAnsi="Consolas"/>
      <w:sz w:val="21"/>
      <w:szCs w:val="21"/>
      <w:lang w:val="en-US"/>
    </w:rPr>
  </w:style>
  <w:style w:type="paragraph" w:styleId="a6">
    <w:name w:val="header"/>
    <w:basedOn w:val="a"/>
    <w:link w:val="a7"/>
    <w:uiPriority w:val="99"/>
    <w:unhideWhenUsed/>
    <w:rsid w:val="004D0B31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D0B31"/>
  </w:style>
  <w:style w:type="paragraph" w:styleId="a8">
    <w:name w:val="footer"/>
    <w:basedOn w:val="a"/>
    <w:link w:val="a9"/>
    <w:uiPriority w:val="99"/>
    <w:unhideWhenUsed/>
    <w:rsid w:val="004D0B31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D0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A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val="en-US"/>
    </w:rPr>
  </w:style>
  <w:style w:type="paragraph" w:styleId="a4">
    <w:name w:val="Plain Text"/>
    <w:basedOn w:val="a"/>
    <w:link w:val="a5"/>
    <w:uiPriority w:val="99"/>
    <w:unhideWhenUsed/>
    <w:rsid w:val="00B4375D"/>
    <w:pPr>
      <w:spacing w:line="240" w:lineRule="auto"/>
      <w:ind w:firstLine="0"/>
    </w:pPr>
    <w:rPr>
      <w:rFonts w:ascii="Consolas" w:hAnsi="Consolas"/>
      <w:sz w:val="21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rsid w:val="00B4375D"/>
    <w:rPr>
      <w:rFonts w:ascii="Consolas" w:hAnsi="Consolas"/>
      <w:sz w:val="21"/>
      <w:szCs w:val="21"/>
      <w:lang w:val="en-US"/>
    </w:rPr>
  </w:style>
  <w:style w:type="paragraph" w:styleId="a6">
    <w:name w:val="header"/>
    <w:basedOn w:val="a"/>
    <w:link w:val="a7"/>
    <w:uiPriority w:val="99"/>
    <w:unhideWhenUsed/>
    <w:rsid w:val="004D0B31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D0B31"/>
  </w:style>
  <w:style w:type="paragraph" w:styleId="a8">
    <w:name w:val="footer"/>
    <w:basedOn w:val="a"/>
    <w:link w:val="a9"/>
    <w:uiPriority w:val="99"/>
    <w:unhideWhenUsed/>
    <w:rsid w:val="004D0B31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D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CA03-CF9C-447C-9B5A-3AD6999B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GESHEVA</dc:creator>
  <cp:lastModifiedBy>Donka</cp:lastModifiedBy>
  <cp:revision>4</cp:revision>
  <dcterms:created xsi:type="dcterms:W3CDTF">2022-10-16T11:47:00Z</dcterms:created>
  <dcterms:modified xsi:type="dcterms:W3CDTF">2022-10-16T12:00:00Z</dcterms:modified>
</cp:coreProperties>
</file>