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E3" w:rsidRPr="007E0AE8" w:rsidRDefault="00126BE3" w:rsidP="00126BE3">
      <w:pPr>
        <w:pStyle w:val="BodyTex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 Т А Н О В И Щ Е</w:t>
      </w:r>
    </w:p>
    <w:p w:rsidR="00126BE3" w:rsidRPr="007E0AE8" w:rsidRDefault="00126BE3" w:rsidP="00126BE3">
      <w:pPr>
        <w:pStyle w:val="BodyText"/>
        <w:spacing w:line="360" w:lineRule="auto"/>
        <w:jc w:val="center"/>
        <w:rPr>
          <w:sz w:val="24"/>
          <w:szCs w:val="24"/>
        </w:rPr>
      </w:pPr>
      <w:r w:rsidRPr="007E0AE8">
        <w:rPr>
          <w:sz w:val="24"/>
          <w:szCs w:val="24"/>
        </w:rPr>
        <w:t>от проф. д-р Мира Ковачева</w:t>
      </w:r>
      <w:r>
        <w:rPr>
          <w:sz w:val="24"/>
          <w:szCs w:val="24"/>
        </w:rPr>
        <w:t>,</w:t>
      </w:r>
    </w:p>
    <w:p w:rsidR="00126BE3" w:rsidRPr="007E0AE8" w:rsidRDefault="00126BE3" w:rsidP="00126BE3">
      <w:pPr>
        <w:pStyle w:val="BodyText"/>
        <w:spacing w:line="360" w:lineRule="auto"/>
        <w:jc w:val="center"/>
        <w:rPr>
          <w:sz w:val="24"/>
          <w:szCs w:val="24"/>
        </w:rPr>
      </w:pPr>
      <w:r w:rsidRPr="007E0AE8">
        <w:rPr>
          <w:sz w:val="24"/>
          <w:szCs w:val="24"/>
        </w:rPr>
        <w:t>катедра Англицистика и американистика</w:t>
      </w:r>
      <w:r>
        <w:rPr>
          <w:sz w:val="24"/>
          <w:szCs w:val="24"/>
        </w:rPr>
        <w:t>,</w:t>
      </w:r>
    </w:p>
    <w:p w:rsidR="00126BE3" w:rsidRPr="007E0AE8" w:rsidRDefault="00126BE3" w:rsidP="00126BE3">
      <w:pPr>
        <w:pStyle w:val="BodyText"/>
        <w:spacing w:line="360" w:lineRule="auto"/>
        <w:jc w:val="center"/>
        <w:rPr>
          <w:sz w:val="24"/>
          <w:szCs w:val="24"/>
        </w:rPr>
      </w:pPr>
      <w:r w:rsidRPr="007E0AE8">
        <w:rPr>
          <w:sz w:val="24"/>
          <w:szCs w:val="24"/>
        </w:rPr>
        <w:t>СУ „Св. Климент Охридски”</w:t>
      </w:r>
    </w:p>
    <w:p w:rsidR="00126BE3" w:rsidRDefault="00126BE3" w:rsidP="00126BE3">
      <w:pPr>
        <w:pStyle w:val="BodyText"/>
        <w:spacing w:line="360" w:lineRule="auto"/>
        <w:jc w:val="center"/>
        <w:rPr>
          <w:sz w:val="24"/>
          <w:szCs w:val="24"/>
        </w:rPr>
      </w:pPr>
      <w:r w:rsidRPr="007E0AE8">
        <w:rPr>
          <w:sz w:val="24"/>
          <w:szCs w:val="24"/>
        </w:rPr>
        <w:t xml:space="preserve">за </w:t>
      </w:r>
      <w:r>
        <w:rPr>
          <w:sz w:val="24"/>
          <w:szCs w:val="24"/>
        </w:rPr>
        <w:t>дисертацията на докторанта на свободна подготовка Ивайло Йорданов Дагнев на тема</w:t>
      </w:r>
    </w:p>
    <w:p w:rsidR="00126BE3" w:rsidRPr="00A064BE" w:rsidRDefault="00126BE3" w:rsidP="0012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64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МЕТАФОРИЧНИ ТЕРМИНИ В АНАТОМИЯТА:</w:t>
      </w:r>
    </w:p>
    <w:p w:rsidR="00126BE3" w:rsidRPr="00A064BE" w:rsidRDefault="00126BE3" w:rsidP="0012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64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АНГЛИЙСКО-БЪЛГАРСКО СЪПОСТАВИТЕЛНО ИЗСЛЕДВАНЕ</w:t>
      </w:r>
    </w:p>
    <w:p w:rsidR="00126BE3" w:rsidRPr="007E0AE8" w:rsidRDefault="00126BE3" w:rsidP="00126BE3">
      <w:pPr>
        <w:pStyle w:val="BodyText"/>
        <w:spacing w:line="360" w:lineRule="auto"/>
        <w:jc w:val="center"/>
        <w:rPr>
          <w:sz w:val="24"/>
          <w:szCs w:val="24"/>
        </w:rPr>
      </w:pPr>
    </w:p>
    <w:p w:rsidR="00126BE3" w:rsidRPr="00D10C9A" w:rsidRDefault="00126BE3" w:rsidP="00126BE3">
      <w:pPr>
        <w:pStyle w:val="BodyTex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(направление </w:t>
      </w:r>
      <w:r w:rsidRPr="007E0AE8">
        <w:rPr>
          <w:sz w:val="24"/>
          <w:szCs w:val="24"/>
        </w:rPr>
        <w:t xml:space="preserve">2.1. Филология </w:t>
      </w:r>
      <w:r w:rsidRPr="00126BE3">
        <w:rPr>
          <w:sz w:val="24"/>
          <w:szCs w:val="24"/>
        </w:rPr>
        <w:t>(05.04.11</w:t>
      </w:r>
      <w:r w:rsidRPr="00A064BE">
        <w:rPr>
          <w:szCs w:val="28"/>
        </w:rPr>
        <w:t xml:space="preserve"> </w:t>
      </w:r>
      <w:r>
        <w:rPr>
          <w:sz w:val="24"/>
          <w:szCs w:val="24"/>
        </w:rPr>
        <w:t>Общо и сравнително езикознание</w:t>
      </w:r>
      <w:r w:rsidRPr="007E0AE8">
        <w:rPr>
          <w:sz w:val="24"/>
          <w:szCs w:val="24"/>
        </w:rPr>
        <w:t xml:space="preserve"> – английски език) </w:t>
      </w:r>
      <w:r w:rsidRPr="007E0AE8">
        <w:rPr>
          <w:sz w:val="24"/>
          <w:szCs w:val="24"/>
        </w:rPr>
        <w:br/>
      </w:r>
    </w:p>
    <w:p w:rsidR="00630BE0" w:rsidRDefault="005D253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10C9A">
        <w:rPr>
          <w:rFonts w:ascii="Times New Roman" w:hAnsi="Times New Roman" w:cs="Times New Roman"/>
          <w:sz w:val="24"/>
          <w:szCs w:val="24"/>
          <w:lang w:val="bg-BG"/>
        </w:rPr>
        <w:t xml:space="preserve">Ивайло Дагнев е преподавател по английски език към Медицинския университет в Пловдив и хоноруван лектор по когнитивна лингвистика и терминология в Пловдивския университет „Паисий Хилендарски“. Той е зачислен на свободна докторантура към катедра Англицистика и американистика през 2013 г. </w:t>
      </w:r>
    </w:p>
    <w:p w:rsidR="00D10C9A" w:rsidRDefault="00D10C9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Дисертацията обхваща 262 страници и се състои от 7 глави, библиография и приложения. Първата уводна </w:t>
      </w:r>
      <w:r w:rsidR="000F643A">
        <w:rPr>
          <w:rFonts w:ascii="Times New Roman" w:hAnsi="Times New Roman" w:cs="Times New Roman"/>
          <w:sz w:val="24"/>
          <w:szCs w:val="24"/>
          <w:lang w:val="bg-BG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bg-BG"/>
        </w:rPr>
        <w:t>се обосновава изборът на тема за изследването. Освен непосред</w:t>
      </w:r>
      <w:r w:rsidR="000F643A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ствената практическа задача, още тук се заявява и по-широка цел, а именно чрез специ</w:t>
      </w:r>
      <w:r w:rsidR="000F643A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ализирания корпус от примери да се направят и някои теоретични изводи както за природата на анатомичните термини, така и </w:t>
      </w:r>
      <w:r w:rsidR="000F643A">
        <w:rPr>
          <w:rFonts w:ascii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sz w:val="24"/>
          <w:szCs w:val="24"/>
          <w:lang w:val="bg-BG"/>
        </w:rPr>
        <w:t>а метафорите изобщо.Тук  убедително се представят аргументи за сближаване на тясно терминологичния подход</w:t>
      </w:r>
      <w:r w:rsidR="004C3029">
        <w:rPr>
          <w:rFonts w:ascii="Times New Roman" w:hAnsi="Times New Roman" w:cs="Times New Roman"/>
          <w:sz w:val="24"/>
          <w:szCs w:val="24"/>
          <w:lang w:val="bg-BG"/>
        </w:rPr>
        <w:t xml:space="preserve"> с езиковедските подходи към назоваването. В това отношение трудът е основан на най-съвременните идеи както в терминознанието, така и в езикознанието</w:t>
      </w:r>
      <w:r w:rsidR="00F92E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C3029">
        <w:rPr>
          <w:rFonts w:ascii="Times New Roman" w:hAnsi="Times New Roman" w:cs="Times New Roman"/>
          <w:sz w:val="24"/>
          <w:szCs w:val="24"/>
          <w:lang w:val="bg-BG"/>
        </w:rPr>
        <w:t xml:space="preserve"> като се позовава на конструктивната критика на терминолози и езиковеди към съществуващи трактовки в двете области.</w:t>
      </w:r>
    </w:p>
    <w:p w:rsidR="004C3029" w:rsidRDefault="004C302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Традиционно в уводната глава се посочват пропуски и недостатъци на съществуващи подобни изследвания, но Ивайло Дагнев е твърде пестелив в това отношение, като предпочита да изтъква положителното в малкото на брой подобни съпоставителни студии</w:t>
      </w:r>
      <w:r w:rsidR="00F92E2E">
        <w:rPr>
          <w:rFonts w:ascii="Times New Roman" w:hAnsi="Times New Roman" w:cs="Times New Roman"/>
          <w:sz w:val="24"/>
          <w:szCs w:val="24"/>
          <w:lang w:val="bg-BG"/>
        </w:rPr>
        <w:t xml:space="preserve"> там</w:t>
      </w:r>
      <w:r>
        <w:rPr>
          <w:rFonts w:ascii="Times New Roman" w:hAnsi="Times New Roman" w:cs="Times New Roman"/>
          <w:sz w:val="24"/>
          <w:szCs w:val="24"/>
          <w:lang w:val="bg-BG"/>
        </w:rPr>
        <w:t>, където това е уместно в самото изложение на работата.</w:t>
      </w:r>
    </w:p>
    <w:p w:rsidR="004C3029" w:rsidRDefault="004C3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Глава втора представлява подробен обзор на когнитивния подход в лингвистиката и по-специално на различни теории за метафората (отчасти и за метономията), спира се на видовете метафори </w:t>
      </w:r>
      <w:r w:rsidR="00F92E2E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постепенно стеснява фокуса към проблеми, които непосредствено бих</w:t>
      </w:r>
      <w:r w:rsidR="00F92E2E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послужили за анализ на анатомичните термини. Трябва да се отбележи, че в тази част от дисерта</w:t>
      </w:r>
      <w:r w:rsidR="001E592C">
        <w:rPr>
          <w:rFonts w:ascii="Times New Roman" w:hAnsi="Times New Roman" w:cs="Times New Roman"/>
          <w:sz w:val="24"/>
          <w:szCs w:val="24"/>
          <w:lang w:val="bg-BG"/>
        </w:rPr>
        <w:t>цията докторантът показва далече не повърхностно познаване на проблема</w:t>
      </w:r>
      <w:r w:rsidR="000F643A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1E592C">
        <w:rPr>
          <w:rFonts w:ascii="Times New Roman" w:hAnsi="Times New Roman" w:cs="Times New Roman"/>
          <w:sz w:val="24"/>
          <w:szCs w:val="24"/>
          <w:lang w:val="bg-BG"/>
        </w:rPr>
        <w:t>тиката. От представените 7 статии извън дисертационния труд е видно, че интересът му в тази област е отдавнашен и стабилен.</w:t>
      </w:r>
    </w:p>
    <w:p w:rsidR="00CB6A7E" w:rsidRPr="00CB6A7E" w:rsidRDefault="00CB6A7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C3480" w:rsidRDefault="001E592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Глава трета е озаглавена </w:t>
      </w:r>
      <w:r w:rsidRPr="001E592C">
        <w:rPr>
          <w:rFonts w:ascii="Times New Roman" w:hAnsi="Times New Roman" w:cs="Times New Roman"/>
          <w:i/>
          <w:sz w:val="24"/>
          <w:szCs w:val="24"/>
          <w:lang w:val="bg-BG"/>
        </w:rPr>
        <w:t>Избор на аналитичен модел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изглежда чисто методологическа.</w:t>
      </w:r>
      <w:r w:rsidR="00CB6A7E">
        <w:rPr>
          <w:rFonts w:ascii="Times New Roman" w:hAnsi="Times New Roman" w:cs="Times New Roman"/>
          <w:sz w:val="24"/>
          <w:szCs w:val="24"/>
          <w:lang w:val="bg-BG"/>
        </w:rPr>
        <w:t xml:space="preserve"> Тук обаче докторантът е принуден да прави също редица теоретически избори измежду множеството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B6A7E">
        <w:rPr>
          <w:rFonts w:ascii="Times New Roman" w:hAnsi="Times New Roman" w:cs="Times New Roman"/>
          <w:sz w:val="24"/>
          <w:szCs w:val="24"/>
          <w:lang w:val="bg-BG"/>
        </w:rPr>
        <w:t xml:space="preserve">съществуващи подходи. Смятам, че той правилно се е ориентирал да следва разграниченията, въведени от Стийн, между езиков, концептуален и психологически подход и оттук – на ономасиологичен и семасиологичен (стр. 67). </w:t>
      </w:r>
      <w:r w:rsidR="00AB6484">
        <w:rPr>
          <w:rFonts w:ascii="Times New Roman" w:hAnsi="Times New Roman" w:cs="Times New Roman"/>
          <w:sz w:val="24"/>
          <w:szCs w:val="24"/>
          <w:lang w:val="bg-BG"/>
        </w:rPr>
        <w:t xml:space="preserve">Поради спецификата на целевия корпус най-подходящ е модел, който съчетава езиковата и концептуалната страна на </w:t>
      </w:r>
      <w:r w:rsidR="003C3480">
        <w:rPr>
          <w:rFonts w:ascii="Times New Roman" w:hAnsi="Times New Roman" w:cs="Times New Roman"/>
          <w:sz w:val="24"/>
          <w:szCs w:val="24"/>
          <w:lang w:val="bg-BG"/>
        </w:rPr>
        <w:t>имената-термини. За разлика от чисто терминологичния подход, в избрания модел на Вивиан Еванс (</w:t>
      </w:r>
      <w:r w:rsidR="003C3480">
        <w:rPr>
          <w:rStyle w:val="fontstyle01"/>
        </w:rPr>
        <w:t>Теория на лексикалните понятия и когнитивните модели</w:t>
      </w:r>
      <w:r w:rsidR="003C3480">
        <w:t xml:space="preserve"> </w:t>
      </w:r>
      <w:r w:rsidR="003C3480" w:rsidRPr="003C3480">
        <w:rPr>
          <w:rFonts w:ascii="Times New Roman" w:hAnsi="Times New Roman" w:cs="Times New Roman"/>
          <w:sz w:val="24"/>
          <w:szCs w:val="24"/>
          <w:lang w:val="bg-BG"/>
        </w:rPr>
        <w:t xml:space="preserve">) концептуалният елемент се определя на базата на </w:t>
      </w:r>
      <w:r w:rsidR="003C3480">
        <w:rPr>
          <w:rFonts w:ascii="Times New Roman" w:hAnsi="Times New Roman" w:cs="Times New Roman"/>
          <w:sz w:val="24"/>
          <w:szCs w:val="24"/>
          <w:lang w:val="bg-BG"/>
        </w:rPr>
        <w:t>значенията на лексемата, която е заета от ежедневния лексикон за означаване на някакъв анатомичен обект</w:t>
      </w:r>
      <w:r w:rsidR="000F643A">
        <w:rPr>
          <w:rFonts w:ascii="Times New Roman" w:hAnsi="Times New Roman" w:cs="Times New Roman"/>
          <w:sz w:val="24"/>
          <w:szCs w:val="24"/>
          <w:lang w:val="bg-BG"/>
        </w:rPr>
        <w:t xml:space="preserve"> (вместо от дефиницията на термина)</w:t>
      </w:r>
      <w:r w:rsidR="003C3480">
        <w:rPr>
          <w:rFonts w:ascii="Times New Roman" w:hAnsi="Times New Roman" w:cs="Times New Roman"/>
          <w:sz w:val="24"/>
          <w:szCs w:val="24"/>
          <w:lang w:val="bg-BG"/>
        </w:rPr>
        <w:t>. По този начин се очертават най-често срещаните семантични компоненти (или образни схеми, срв. Глава 6), използвани като мотивация</w:t>
      </w:r>
      <w:r w:rsidR="000F643A">
        <w:rPr>
          <w:rFonts w:ascii="Times New Roman" w:hAnsi="Times New Roman" w:cs="Times New Roman"/>
          <w:sz w:val="24"/>
          <w:szCs w:val="24"/>
          <w:lang w:val="bg-BG"/>
        </w:rPr>
        <w:t xml:space="preserve"> в ономасиологичния процес</w:t>
      </w:r>
      <w:r w:rsidR="003C348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F643A">
        <w:rPr>
          <w:rFonts w:ascii="Times New Roman" w:hAnsi="Times New Roman" w:cs="Times New Roman"/>
          <w:sz w:val="24"/>
          <w:szCs w:val="24"/>
          <w:lang w:val="bg-BG"/>
        </w:rPr>
        <w:t xml:space="preserve"> Същевре-менно може да се проследи и семасиологичната история на лексемата.</w:t>
      </w:r>
      <w:r w:rsidR="003C34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C3480" w:rsidRPr="002259E2" w:rsidRDefault="003C348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Глава трета </w:t>
      </w:r>
      <w:r w:rsidR="002259E2">
        <w:rPr>
          <w:rFonts w:ascii="Times New Roman" w:hAnsi="Times New Roman" w:cs="Times New Roman"/>
          <w:sz w:val="24"/>
          <w:szCs w:val="24"/>
          <w:lang w:val="bg-BG"/>
        </w:rPr>
        <w:t xml:space="preserve">описва накратко </w:t>
      </w:r>
      <w:r w:rsidR="000F643A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2259E2">
        <w:rPr>
          <w:rFonts w:ascii="Times New Roman" w:hAnsi="Times New Roman" w:cs="Times New Roman"/>
          <w:sz w:val="24"/>
          <w:szCs w:val="24"/>
          <w:lang w:val="bg-BG"/>
        </w:rPr>
        <w:t xml:space="preserve">оперативните понятия в модела на Еванс като </w:t>
      </w:r>
      <w:r w:rsidR="002259E2" w:rsidRPr="00F92E2E">
        <w:rPr>
          <w:rFonts w:ascii="Times New Roman" w:hAnsi="Times New Roman" w:cs="Times New Roman"/>
          <w:i/>
          <w:sz w:val="24"/>
          <w:szCs w:val="24"/>
          <w:lang w:val="bg-BG"/>
        </w:rPr>
        <w:t>к</w:t>
      </w:r>
      <w:r w:rsidRPr="003C34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огнитивен модел</w:t>
      </w:r>
      <w:r w:rsidR="002259E2" w:rsidRPr="00F92E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/>
        </w:rPr>
        <w:t>, когнитивен профил, лексикално понятие, семантични афорданси</w:t>
      </w:r>
      <w:r w:rsidR="00225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Добра идея е да се представи модела визуално – нещо, което самият автор не прави. Един аспект на модела, който Еванс споменава мимоходом, позовавайки се на Шмид, е получил по-разгърната трактовка в дисертацията. Става дума за т. нар. </w:t>
      </w:r>
      <w:r w:rsidR="002259E2" w:rsidRPr="002259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/>
        </w:rPr>
        <w:t>индексни думи</w:t>
      </w:r>
      <w:r w:rsidR="00225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(превод на англ. </w:t>
      </w:r>
      <w:r w:rsidR="002259E2" w:rsidRPr="002259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shell nouns</w:t>
      </w:r>
      <w:r w:rsidR="002259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225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Идеята, че при създаване на метафорични значения се стига до обобщаване на някакво конкретно </w:t>
      </w:r>
      <w:r w:rsidR="009B6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значение, не е нова. Тя обаче тук е представена по-ярко</w:t>
      </w:r>
      <w:r w:rsidR="00F92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– </w:t>
      </w:r>
      <w:r w:rsidR="009B6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като закономерност, която дава възможност да се </w:t>
      </w:r>
      <w:r w:rsidR="00F92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обособят</w:t>
      </w:r>
      <w:r w:rsidR="009B6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лексеми със структура достатъчно схематична, за да послужат като структурна „обвивка“ на ново значение. Като цяло, изборът на модела на Еванс е отговор на имплицитната критика към съществуващите едностранни трактовки на езиковата метафора, срв.: „</w:t>
      </w:r>
      <w:r w:rsidR="009B6844" w:rsidRPr="009B6844">
        <w:rPr>
          <w:rFonts w:ascii="Times New Roman" w:hAnsi="Times New Roman" w:cs="Times New Roman"/>
          <w:color w:val="000000"/>
          <w:sz w:val="24"/>
          <w:szCs w:val="24"/>
        </w:rPr>
        <w:t>Конструирането на преносното значение</w:t>
      </w:r>
      <w:r w:rsidR="009B684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...</w:t>
      </w:r>
      <w:r w:rsidR="009B6844" w:rsidRPr="009B6844">
        <w:rPr>
          <w:rFonts w:ascii="Times New Roman" w:hAnsi="Times New Roman" w:cs="Times New Roman"/>
          <w:color w:val="000000"/>
          <w:sz w:val="24"/>
          <w:szCs w:val="24"/>
        </w:rPr>
        <w:t xml:space="preserve"> възниква на основата на</w:t>
      </w:r>
      <w:r w:rsidR="009B684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9B6844" w:rsidRPr="009B6844">
        <w:rPr>
          <w:rFonts w:ascii="Times New Roman" w:hAnsi="Times New Roman" w:cs="Times New Roman"/>
          <w:color w:val="000000"/>
          <w:sz w:val="24"/>
          <w:szCs w:val="24"/>
        </w:rPr>
        <w:t>активиране на семантични афорданси, специфични за определено лексикално понятие,</w:t>
      </w:r>
      <w:r w:rsidR="00010A5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9B6844" w:rsidRPr="009B6844">
        <w:rPr>
          <w:rFonts w:ascii="Times New Roman" w:hAnsi="Times New Roman" w:cs="Times New Roman"/>
          <w:color w:val="000000"/>
          <w:sz w:val="24"/>
          <w:szCs w:val="24"/>
        </w:rPr>
        <w:t>като концептуалната метафора също може да участва, в зависимост от него, но не го</w:t>
      </w:r>
      <w:r w:rsidR="00010A5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9B6844" w:rsidRPr="009B6844">
        <w:rPr>
          <w:rFonts w:ascii="Times New Roman" w:hAnsi="Times New Roman" w:cs="Times New Roman"/>
          <w:color w:val="000000"/>
          <w:sz w:val="24"/>
          <w:szCs w:val="24"/>
        </w:rPr>
        <w:t>определя изцяло, т.е. подходът отгоре-надолу не е валиден.</w:t>
      </w:r>
      <w:r w:rsidR="00010A59">
        <w:rPr>
          <w:rFonts w:ascii="Times New Roman" w:hAnsi="Times New Roman" w:cs="Times New Roman"/>
          <w:color w:val="000000"/>
          <w:sz w:val="24"/>
          <w:szCs w:val="24"/>
          <w:lang w:val="bg-BG"/>
        </w:rPr>
        <w:t>“ (стр. 84).</w:t>
      </w:r>
      <w:r w:rsidR="009B6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:rsidR="00EB658D" w:rsidRDefault="00010A59">
      <w:pPr>
        <w:rPr>
          <w:rStyle w:val="fontstyle01"/>
          <w:i w:val="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Глава четвърта </w:t>
      </w:r>
      <w:r w:rsidRPr="00010A5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Ограничаване на ко</w:t>
      </w:r>
      <w:r w:rsidR="000F643A" w:rsidRPr="00010A5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р</w:t>
      </w:r>
      <w:r w:rsidRPr="00010A5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пуса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пръв поглед изглежда се появява твърде късно в изложението, но (както и в предишната глава) разискваните проблеми са по-скоро аналитични, отколкото методологически. На първо място тук (пак имплицитно) се спори с автори на студии върху анатомичните термини в български, английски и други езици, които разширяват неимоверно разбирането за метафора и включват всякакъв вид образност, например </w:t>
      </w:r>
      <w:r>
        <w:rPr>
          <w:rStyle w:val="fontstyle01"/>
        </w:rPr>
        <w:t>крушовиден, делтовиден, червеобразен</w:t>
      </w:r>
      <w:r w:rsidR="00053B05">
        <w:rPr>
          <w:rStyle w:val="fontstyle01"/>
          <w:lang w:val="bg-BG"/>
        </w:rPr>
        <w:t>/</w:t>
      </w:r>
      <w:r w:rsidR="00053B05">
        <w:rPr>
          <w:rStyle w:val="fontstyle01"/>
        </w:rPr>
        <w:t>piriform, deltoid, vermiform</w:t>
      </w:r>
      <w:r w:rsidR="0037790F">
        <w:rPr>
          <w:rStyle w:val="fontstyle01"/>
          <w:lang w:val="bg-BG"/>
        </w:rPr>
        <w:t xml:space="preserve"> </w:t>
      </w:r>
      <w:r w:rsidR="00053B05">
        <w:rPr>
          <w:rStyle w:val="fontstyle01"/>
          <w:i w:val="0"/>
          <w:lang w:val="bg-BG"/>
        </w:rPr>
        <w:t>(стр. 101). Тези прилагателни с право са изключени. На второ място</w:t>
      </w:r>
      <w:r w:rsidR="0037790F">
        <w:rPr>
          <w:rStyle w:val="fontstyle01"/>
          <w:i w:val="0"/>
          <w:lang w:val="bg-BG"/>
        </w:rPr>
        <w:t>,</w:t>
      </w:r>
      <w:r w:rsidR="00053B05">
        <w:rPr>
          <w:rStyle w:val="fontstyle01"/>
          <w:i w:val="0"/>
          <w:lang w:val="bg-BG"/>
        </w:rPr>
        <w:t xml:space="preserve"> прозрачни словообразувания като </w:t>
      </w:r>
      <w:r w:rsidR="00053B05" w:rsidRPr="00053B05">
        <w:rPr>
          <w:rStyle w:val="fontstyle01"/>
          <w:lang w:val="bg-BG"/>
        </w:rPr>
        <w:t>разгъвач</w:t>
      </w:r>
      <w:r w:rsidR="00053B05">
        <w:rPr>
          <w:rStyle w:val="fontstyle01"/>
          <w:i w:val="0"/>
          <w:lang w:val="bg-BG"/>
        </w:rPr>
        <w:t>/</w:t>
      </w:r>
      <w:r w:rsidR="00053B05">
        <w:rPr>
          <w:rStyle w:val="fontstyle01"/>
        </w:rPr>
        <w:t>extensor</w:t>
      </w:r>
      <w:r w:rsidR="00053B05">
        <w:rPr>
          <w:rStyle w:val="fontstyle01"/>
          <w:i w:val="0"/>
          <w:lang w:val="bg-BG"/>
        </w:rPr>
        <w:t xml:space="preserve"> също са изключени, тъй като няма езиково основание да се приема </w:t>
      </w:r>
      <w:r w:rsidR="00053B05" w:rsidRPr="00053B05">
        <w:rPr>
          <w:rStyle w:val="fontstyle01"/>
          <w:lang w:val="bg-BG"/>
        </w:rPr>
        <w:t>разгъвач</w:t>
      </w:r>
      <w:r w:rsidR="00053B05">
        <w:rPr>
          <w:rStyle w:val="fontstyle01"/>
          <w:i w:val="0"/>
          <w:lang w:val="bg-BG"/>
        </w:rPr>
        <w:t xml:space="preserve"> само като човешко същество и следователно няма метафора. Някои умалителни по форма термини, които са образувани само със значение </w:t>
      </w:r>
      <w:r w:rsidR="00053B05">
        <w:rPr>
          <w:rStyle w:val="fontstyle01"/>
          <w:i w:val="0"/>
          <w:lang w:val="bg-BG"/>
        </w:rPr>
        <w:lastRenderedPageBreak/>
        <w:t>на анатомичен обект (</w:t>
      </w:r>
      <w:r w:rsidR="00053B05" w:rsidRPr="0037790F">
        <w:rPr>
          <w:rStyle w:val="fontstyle01"/>
          <w:lang w:val="bg-BG"/>
        </w:rPr>
        <w:t>възелче</w:t>
      </w:r>
      <w:r w:rsidR="00053B05">
        <w:rPr>
          <w:rStyle w:val="fontstyle01"/>
          <w:i w:val="0"/>
          <w:lang w:val="bg-BG"/>
        </w:rPr>
        <w:t>) също са изключени. Този въпрос е спорен – очевидно в случая няма метафорична семасиологична промяна, но пък ономасиологично изборът на афорданси и съчетаването им с лексема (индексна или не) остава в центъра на дискусията за метафоричността на термините.</w:t>
      </w:r>
    </w:p>
    <w:p w:rsidR="00314FA9" w:rsidRDefault="00EB658D">
      <w:pPr>
        <w:rPr>
          <w:rStyle w:val="fontstyle01"/>
          <w:i w:val="0"/>
          <w:lang w:val="bg-BG"/>
        </w:rPr>
      </w:pPr>
      <w:r>
        <w:rPr>
          <w:rStyle w:val="fontstyle01"/>
          <w:i w:val="0"/>
          <w:lang w:val="bg-BG"/>
        </w:rPr>
        <w:t xml:space="preserve">Интересен теоретичен момент е предложеният от Дансиджиър и Суицър анализ на съществителни с постмодификация. В анатомичната номенклатура такива синаптични названия са правило. Така </w:t>
      </w:r>
      <w:r>
        <w:rPr>
          <w:rStyle w:val="fontstyle01"/>
        </w:rPr>
        <w:t>коляно на лицевия нерв</w:t>
      </w:r>
      <w:r>
        <w:rPr>
          <w:rStyle w:val="fontstyle01"/>
          <w:i w:val="0"/>
          <w:lang w:val="bg-BG"/>
        </w:rPr>
        <w:t xml:space="preserve"> или </w:t>
      </w:r>
      <w:r w:rsidRPr="00EB658D">
        <w:rPr>
          <w:rStyle w:val="fontstyle01"/>
        </w:rPr>
        <w:t>bridge of the nose</w:t>
      </w:r>
      <w:r>
        <w:rPr>
          <w:rStyle w:val="fontstyle01"/>
          <w:i w:val="0"/>
        </w:rPr>
        <w:t xml:space="preserve"> (</w:t>
      </w:r>
      <w:r>
        <w:rPr>
          <w:rStyle w:val="fontstyle01"/>
          <w:i w:val="0"/>
          <w:lang w:val="bg-BG"/>
        </w:rPr>
        <w:t>стр</w:t>
      </w:r>
      <w:r>
        <w:rPr>
          <w:rStyle w:val="fontstyle01"/>
          <w:i w:val="0"/>
        </w:rPr>
        <w:t>. 105)</w:t>
      </w:r>
      <w:r>
        <w:rPr>
          <w:rStyle w:val="fontstyle01"/>
          <w:i w:val="0"/>
          <w:lang w:val="bg-BG"/>
        </w:rPr>
        <w:t xml:space="preserve"> не оставят никакво съмнение, че не става дума за </w:t>
      </w:r>
      <w:r>
        <w:rPr>
          <w:rStyle w:val="fontstyle01"/>
          <w:i w:val="0"/>
        </w:rPr>
        <w:t>‘</w:t>
      </w:r>
      <w:r>
        <w:rPr>
          <w:rStyle w:val="fontstyle01"/>
          <w:i w:val="0"/>
          <w:lang w:val="bg-BG"/>
        </w:rPr>
        <w:t>става</w:t>
      </w:r>
      <w:r>
        <w:rPr>
          <w:rStyle w:val="fontstyle01"/>
          <w:i w:val="0"/>
        </w:rPr>
        <w:t>’</w:t>
      </w:r>
      <w:r>
        <w:rPr>
          <w:rStyle w:val="fontstyle01"/>
          <w:i w:val="0"/>
          <w:lang w:val="bg-BG"/>
        </w:rPr>
        <w:t xml:space="preserve"> или </w:t>
      </w:r>
      <w:r>
        <w:rPr>
          <w:rStyle w:val="fontstyle01"/>
          <w:i w:val="0"/>
        </w:rPr>
        <w:t>‘</w:t>
      </w:r>
      <w:r>
        <w:rPr>
          <w:rStyle w:val="fontstyle01"/>
          <w:i w:val="0"/>
          <w:lang w:val="bg-BG"/>
        </w:rPr>
        <w:t>мост</w:t>
      </w:r>
      <w:r>
        <w:rPr>
          <w:rStyle w:val="fontstyle01"/>
          <w:i w:val="0"/>
        </w:rPr>
        <w:t xml:space="preserve">’ </w:t>
      </w:r>
      <w:r>
        <w:rPr>
          <w:rStyle w:val="fontstyle01"/>
          <w:i w:val="0"/>
          <w:lang w:val="bg-BG"/>
        </w:rPr>
        <w:t>и с това премахват част от ефекта на преднамерената (</w:t>
      </w:r>
      <w:r>
        <w:rPr>
          <w:rStyle w:val="fontstyle01"/>
          <w:i w:val="0"/>
        </w:rPr>
        <w:t>deliberate)</w:t>
      </w:r>
      <w:r>
        <w:rPr>
          <w:rStyle w:val="fontstyle01"/>
          <w:i w:val="0"/>
          <w:lang w:val="bg-BG"/>
        </w:rPr>
        <w:t xml:space="preserve"> метафора. Случаи като тези показват изключителната важност на контекста дори в този редуциран </w:t>
      </w:r>
      <w:r w:rsidR="00314FA9">
        <w:rPr>
          <w:rStyle w:val="fontstyle01"/>
          <w:i w:val="0"/>
          <w:lang w:val="bg-BG"/>
        </w:rPr>
        <w:t>смисъл. Както е показано по-късно в Глава пета, съществителните могат да придобият</w:t>
      </w:r>
      <w:r>
        <w:rPr>
          <w:rStyle w:val="fontstyle01"/>
          <w:i w:val="0"/>
          <w:lang w:val="bg-BG"/>
        </w:rPr>
        <w:t xml:space="preserve"> </w:t>
      </w:r>
      <w:r w:rsidR="00314FA9">
        <w:rPr>
          <w:rStyle w:val="fontstyle01"/>
          <w:i w:val="0"/>
          <w:lang w:val="bg-BG"/>
        </w:rPr>
        <w:t>индексен характер именно от честа употреба в специфични контексти.</w:t>
      </w:r>
    </w:p>
    <w:p w:rsidR="007F7F81" w:rsidRDefault="00314FA9">
      <w:pPr>
        <w:rPr>
          <w:rStyle w:val="fontstyle01"/>
          <w:i w:val="0"/>
          <w:lang w:val="bg-BG"/>
        </w:rPr>
      </w:pPr>
      <w:r>
        <w:rPr>
          <w:rStyle w:val="fontstyle01"/>
          <w:i w:val="0"/>
          <w:lang w:val="bg-BG"/>
        </w:rPr>
        <w:t>Друг труден въпрос за решаване в главата за корпуса е да се реши каква е ролята на латинския език при утвърждаването на анатомичните термини в двата езика. Исторически факт е, че много от тях са калки, други са заемки. Докторантът откроява и трета група (освен малкото на брой оригинални термини), и то главно за английски език, а именно латински термини без видима фонетична или морфологична адаптация</w:t>
      </w:r>
      <w:r w:rsidR="007F7F81">
        <w:rPr>
          <w:rStyle w:val="fontstyle01"/>
          <w:i w:val="0"/>
          <w:lang w:val="bg-BG"/>
        </w:rPr>
        <w:t xml:space="preserve"> (твърде често в писмен вид и следователно </w:t>
      </w:r>
      <w:r w:rsidR="0037790F">
        <w:rPr>
          <w:rStyle w:val="fontstyle01"/>
          <w:i w:val="0"/>
          <w:lang w:val="bg-BG"/>
        </w:rPr>
        <w:t>без промяна на ортография</w:t>
      </w:r>
      <w:r w:rsidR="007F7F81">
        <w:rPr>
          <w:rStyle w:val="fontstyle01"/>
          <w:i w:val="0"/>
          <w:lang w:val="bg-BG"/>
        </w:rPr>
        <w:t>та)</w:t>
      </w:r>
      <w:r>
        <w:rPr>
          <w:rStyle w:val="fontstyle01"/>
          <w:i w:val="0"/>
          <w:lang w:val="bg-BG"/>
        </w:rPr>
        <w:t xml:space="preserve">. </w:t>
      </w:r>
      <w:r w:rsidR="007F7F81">
        <w:rPr>
          <w:rStyle w:val="fontstyle01"/>
          <w:i w:val="0"/>
          <w:lang w:val="bg-BG"/>
        </w:rPr>
        <w:t>Може да се приеме, че в този случай става дума за употреба, тоест, че в английски се наблюдава „превключване на кода“ поради липса на родни еквиваленти. Заемките и латинските термини логично се изключват от корпуса. Калките са анализирани, доколкото терминотворецът все пак има избор (както се вижда от конкретния анализ в Глава пета). Тук също може да се направят наблюдения за влиянието на езиковия (типологичен) и по-общо културния контекст в съпоставителната част на дисертацията.</w:t>
      </w:r>
    </w:p>
    <w:p w:rsidR="00A13E83" w:rsidRDefault="007F7F81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Style w:val="fontstyle01"/>
          <w:i w:val="0"/>
          <w:lang w:val="bg-BG"/>
        </w:rPr>
        <w:t xml:space="preserve">В </w:t>
      </w:r>
      <w:r w:rsidR="0037790F">
        <w:rPr>
          <w:rStyle w:val="fontstyle01"/>
          <w:i w:val="0"/>
          <w:lang w:val="bg-BG"/>
        </w:rPr>
        <w:t>Г</w:t>
      </w:r>
      <w:r>
        <w:rPr>
          <w:rStyle w:val="fontstyle01"/>
          <w:i w:val="0"/>
          <w:lang w:val="bg-BG"/>
        </w:rPr>
        <w:t>лава пета следва конкретен анализ на т. нар. общи термини и сравняването им с предложените характеристики на индексните съществителни.</w:t>
      </w:r>
      <w:r w:rsidR="00220F53">
        <w:rPr>
          <w:rStyle w:val="fontstyle01"/>
          <w:i w:val="0"/>
          <w:lang w:val="bg-BG"/>
        </w:rPr>
        <w:t xml:space="preserve"> Разгледани са 18 опори на български (напр. </w:t>
      </w:r>
      <w:r w:rsidR="00220F53" w:rsidRPr="00220F53">
        <w:rPr>
          <w:rStyle w:val="fontstyle01"/>
          <w:lang w:val="bg-BG"/>
        </w:rPr>
        <w:t>глава, възел, гънка, телце, ямка</w:t>
      </w:r>
      <w:r w:rsidR="00220F53">
        <w:rPr>
          <w:rStyle w:val="fontstyle01"/>
          <w:i w:val="0"/>
          <w:lang w:val="bg-BG"/>
        </w:rPr>
        <w:t>), което значи, че термините, съдържащи тези опори са доста повече. За съжаление, данни за това не са представени. Разгледаните английски опори са само 6, тъй като повечето са разгледан</w:t>
      </w:r>
      <w:r w:rsidR="0037790F">
        <w:rPr>
          <w:rStyle w:val="fontstyle01"/>
          <w:i w:val="0"/>
          <w:lang w:val="bg-BG"/>
        </w:rPr>
        <w:t>и</w:t>
      </w:r>
      <w:r w:rsidR="00220F53">
        <w:rPr>
          <w:rStyle w:val="fontstyle01"/>
          <w:i w:val="0"/>
          <w:lang w:val="bg-BG"/>
        </w:rPr>
        <w:t xml:space="preserve"> паралелно </w:t>
      </w:r>
      <w:r w:rsidR="0037790F">
        <w:rPr>
          <w:rStyle w:val="fontstyle01"/>
          <w:i w:val="0"/>
          <w:lang w:val="bg-BG"/>
        </w:rPr>
        <w:t xml:space="preserve">като еквиваленти на </w:t>
      </w:r>
      <w:r w:rsidR="00220F53">
        <w:rPr>
          <w:rStyle w:val="fontstyle01"/>
          <w:i w:val="0"/>
          <w:lang w:val="bg-BG"/>
        </w:rPr>
        <w:t xml:space="preserve">българските. Следва анализ на общи термини, чиято опора е метафорична, напр. </w:t>
      </w:r>
      <w:r w:rsidR="00220F53" w:rsidRPr="00220F53">
        <w:rPr>
          <w:rStyle w:val="fontstyle01"/>
          <w:lang w:val="bg-BG"/>
        </w:rPr>
        <w:t>бразда</w:t>
      </w:r>
      <w:r w:rsidR="00220F53">
        <w:rPr>
          <w:rStyle w:val="fontstyle01"/>
          <w:lang w:val="bg-BG"/>
        </w:rPr>
        <w:t xml:space="preserve">, гребен, венец. </w:t>
      </w:r>
      <w:r w:rsidR="00220F53">
        <w:rPr>
          <w:rStyle w:val="fontstyle01"/>
          <w:i w:val="0"/>
          <w:lang w:val="bg-BG"/>
        </w:rPr>
        <w:t>„</w:t>
      </w:r>
      <w:r w:rsidR="00220F53" w:rsidRPr="00220F53">
        <w:rPr>
          <w:rFonts w:ascii="Times New Roman" w:hAnsi="Times New Roman" w:cs="Times New Roman"/>
          <w:color w:val="000000"/>
          <w:sz w:val="24"/>
          <w:szCs w:val="24"/>
        </w:rPr>
        <w:t>Метафората в тези термини може да бъде “съживена“ за разлика от “кухите“ индексни</w:t>
      </w:r>
      <w:r w:rsidR="0037790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220F53" w:rsidRPr="00220F53">
        <w:rPr>
          <w:rFonts w:ascii="Times New Roman" w:hAnsi="Times New Roman" w:cs="Times New Roman"/>
          <w:color w:val="000000"/>
          <w:sz w:val="24"/>
          <w:szCs w:val="24"/>
        </w:rPr>
        <w:t>думи, или пък терминологичната употреба изобщо не е заличила метафоричната</w:t>
      </w:r>
      <w:r w:rsidR="0037790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220F53" w:rsidRPr="00220F53">
        <w:rPr>
          <w:rFonts w:ascii="Times New Roman" w:hAnsi="Times New Roman" w:cs="Times New Roman"/>
          <w:color w:val="000000"/>
          <w:sz w:val="24"/>
          <w:szCs w:val="24"/>
        </w:rPr>
        <w:t>мотивация</w:t>
      </w:r>
      <w:r w:rsidR="00220F53">
        <w:rPr>
          <w:rFonts w:ascii="Times New Roman" w:hAnsi="Times New Roman" w:cs="Times New Roman"/>
          <w:color w:val="000000"/>
          <w:sz w:val="24"/>
          <w:szCs w:val="24"/>
          <w:lang w:val="bg-BG"/>
        </w:rPr>
        <w:t>“</w:t>
      </w:r>
      <w:r w:rsidR="00A13E8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(стр. 156)</w:t>
      </w:r>
      <w:r w:rsidR="00220F5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Акцентът върху възможността за съживяване на метафората в терминологията е </w:t>
      </w:r>
      <w:r w:rsidR="00A13E8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интересно наблюдение. В тази част намирам основния приносен момент в дисертацията, а именно обособяването на индексни съществителни, „удобни“ от ономасиологична гледна точка за целите на анатомията. Особено важна ми се струва възможността за възникване на индексни думи именно в дадена експериенциална област (не непременно общовалидни индексни думи) – например </w:t>
      </w:r>
      <w:r w:rsidR="00A13E83" w:rsidRPr="00A13E83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глава</w:t>
      </w:r>
      <w:r w:rsidR="00A13E8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като анатомичен обект с определена форма и функция (различно от други употреби на </w:t>
      </w:r>
      <w:r w:rsidR="00A13E83" w:rsidRPr="00A13E83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глава</w:t>
      </w:r>
      <w:r w:rsidR="00A13E8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като </w:t>
      </w:r>
      <w:r w:rsidR="00A13E83" w:rsidRPr="00A13E83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глава на </w:t>
      </w:r>
      <w:r w:rsidR="00A13E83" w:rsidRPr="00A13E83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lastRenderedPageBreak/>
        <w:t>семейство</w:t>
      </w:r>
      <w:r w:rsidR="00A13E8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различно от </w:t>
      </w:r>
      <w:r w:rsidR="00A13E83" w:rsidRPr="00A13E83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глава</w:t>
      </w:r>
      <w:r w:rsidR="00A13E8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като част на инструмент). Изглежда възникването на индексни думи е свързано с даден когнитивен модел (както е у Еванс, но не у Лейкоф).</w:t>
      </w:r>
    </w:p>
    <w:p w:rsidR="00807CDA" w:rsidRDefault="00A13E83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Глава шеста продължава с анализ на метафорично мотивирани термини</w:t>
      </w:r>
      <w:r w:rsidR="0037790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(извън общите)</w:t>
      </w:r>
      <w:r w:rsidR="00807CDA">
        <w:rPr>
          <w:rFonts w:ascii="Times New Roman" w:hAnsi="Times New Roman" w:cs="Times New Roman"/>
          <w:color w:val="000000"/>
          <w:sz w:val="24"/>
          <w:szCs w:val="24"/>
          <w:lang w:val="bg-BG"/>
        </w:rPr>
        <w:t>, като те са обединени от определени образни схеми или матрица от признаци. Тук има любопитни примери на термини, основани на т. нар. „богати сцени“</w:t>
      </w:r>
      <w:r w:rsidR="0037790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–</w:t>
      </w:r>
      <w:r w:rsidR="00807CD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идиосинкретични названия, чиято мотивация се основава на конкретен културен епизод или опитност, напр. </w:t>
      </w:r>
      <w:r w:rsidR="00807CDA" w:rsidRPr="00807CDA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шивашки мускул.</w:t>
      </w:r>
      <w:r w:rsidR="00807CD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В други работи </w:t>
      </w:r>
      <w:r w:rsidR="0037790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и </w:t>
      </w:r>
      <w:r w:rsidR="00807CD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тези богати сцени са третирани като метафори. </w:t>
      </w:r>
    </w:p>
    <w:p w:rsidR="00023D4F" w:rsidRDefault="00807CDA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Всички анализи следват </w:t>
      </w:r>
      <w:r w:rsidR="006344D1">
        <w:rPr>
          <w:rFonts w:ascii="Times New Roman" w:hAnsi="Times New Roman" w:cs="Times New Roman"/>
          <w:color w:val="000000"/>
          <w:sz w:val="24"/>
          <w:szCs w:val="24"/>
          <w:lang w:val="bg-BG"/>
        </w:rPr>
        <w:t>един и същи план</w:t>
      </w:r>
      <w:r w:rsidR="00023D4F">
        <w:rPr>
          <w:rFonts w:ascii="Times New Roman" w:hAnsi="Times New Roman" w:cs="Times New Roman"/>
          <w:color w:val="000000"/>
          <w:sz w:val="24"/>
          <w:szCs w:val="24"/>
          <w:lang w:val="bg-BG"/>
        </w:rPr>
        <w:t>, започващ с данни от речници, за да се намерят вторичните (метафорични) когнитивни модели, послужили за основа на терминообразуването в двата езика.  Семасиологичната връзка между когнитивните модели в когнитивния профил е само загатната. Тази част на дисертацията е най-</w:t>
      </w:r>
      <w:r w:rsidR="0037790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неравна и </w:t>
      </w:r>
      <w:r w:rsidR="00023D4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неубедителна, с малки изключения. Изборът на речници не е много удачен, доказателственият материал е доста оскъден. Като научен консултант съм длъжна да спомена, че конкретният езиков анализ не е силната страна на докторанта – той имаше нужда от постоянно насърчаване в тази насока. Крайният резултат е доста фрагментарен, което обаче е разбираемо при оказалата се твърде </w:t>
      </w:r>
      <w:r w:rsidR="0037790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сложна </w:t>
      </w:r>
      <w:r w:rsidR="00ED434F">
        <w:rPr>
          <w:rFonts w:ascii="Times New Roman" w:hAnsi="Times New Roman" w:cs="Times New Roman"/>
          <w:color w:val="000000"/>
          <w:sz w:val="24"/>
          <w:szCs w:val="24"/>
          <w:lang w:val="bg-BG"/>
        </w:rPr>
        <w:t>плетеница от замитани досега теоретични въпроси по отношение на метафоричността на терминологична лексика, още повече, че в случая се налага</w:t>
      </w:r>
      <w:r w:rsidR="00023D4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да се сравняват на практика три езика.</w:t>
      </w:r>
    </w:p>
    <w:p w:rsidR="00AB7211" w:rsidRDefault="00E54DCB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В последната глава са обобщени изводите и са представени приносните моменти на изследването.  Не бих казала, че първоначално предвиденият корпус е изчерпателно описан, но предложените резултати са убедителен пример за това как такова описание може да бъде направено. Определено смислен ми се вижда изводът за различна степен на метафоричност в анатомичната терминология, а именно цитираните групи същински метафори и термини-индексни съществителни. Оригинален момент е и използването на довода на Херертс, че някои преносни значения са основани на действително подобие (</w:t>
      </w:r>
      <w:r w:rsidRPr="00E54DCB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езиче, пъпка, </w:t>
      </w:r>
      <w:r w:rsidRPr="00E54DCB">
        <w:rPr>
          <w:rFonts w:ascii="Times New Roman" w:hAnsi="Times New Roman" w:cs="Times New Roman"/>
          <w:i/>
          <w:color w:val="000000"/>
          <w:sz w:val="24"/>
          <w:szCs w:val="24"/>
        </w:rPr>
        <w:t>spine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което не съвпада с ефекта от преднамерената метафора в ономасиологичен план. </w:t>
      </w:r>
      <w:r w:rsidR="00AB7211">
        <w:rPr>
          <w:rFonts w:ascii="Times New Roman" w:hAnsi="Times New Roman" w:cs="Times New Roman"/>
          <w:color w:val="000000"/>
          <w:sz w:val="24"/>
          <w:szCs w:val="24"/>
          <w:lang w:val="bg-BG"/>
        </w:rPr>
        <w:t>Изредените приносни моменти в общи линии отговарят на съдържанието на труда.</w:t>
      </w:r>
      <w:r w:rsidR="00ED434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Същото се отнася и за а</w:t>
      </w:r>
      <w:r w:rsidR="00B50A43">
        <w:rPr>
          <w:rFonts w:ascii="Times New Roman" w:hAnsi="Times New Roman" w:cs="Times New Roman"/>
          <w:color w:val="000000"/>
          <w:sz w:val="24"/>
          <w:szCs w:val="24"/>
          <w:lang w:val="bg-BG"/>
        </w:rPr>
        <w:t>в</w:t>
      </w:r>
      <w:r w:rsidR="00ED434F">
        <w:rPr>
          <w:rFonts w:ascii="Times New Roman" w:hAnsi="Times New Roman" w:cs="Times New Roman"/>
          <w:color w:val="000000"/>
          <w:sz w:val="24"/>
          <w:szCs w:val="24"/>
          <w:lang w:val="bg-BG"/>
        </w:rPr>
        <w:t>тореферата.</w:t>
      </w:r>
    </w:p>
    <w:p w:rsidR="00AB7211" w:rsidRDefault="00AB7211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Въз основа на казаното смятам, че докторантът Ивайло Дагнев е постигнал изискванията </w:t>
      </w:r>
      <w:r w:rsidR="00B50A43">
        <w:rPr>
          <w:rFonts w:ascii="Times New Roman" w:hAnsi="Times New Roman" w:cs="Times New Roman"/>
          <w:color w:val="000000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а образователната и научна степен „доктор“ и </w:t>
      </w:r>
      <w:r w:rsidR="00B50A4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без колебание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препоръчвам на уважаемото жури тя да му бъде присъдена.</w:t>
      </w:r>
    </w:p>
    <w:p w:rsidR="00AB7211" w:rsidRDefault="0002754A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6BF8FCA8" wp14:editId="152ABC3E">
            <wp:extent cx="4075975" cy="1121434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18723" t="65278" r="53846" b="21305"/>
                    <a:stretch/>
                  </pic:blipFill>
                  <pic:spPr bwMode="auto">
                    <a:xfrm>
                      <a:off x="0" y="0"/>
                      <a:ext cx="4076882" cy="1121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21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26" w:rsidRDefault="00FD5326" w:rsidP="002259E2">
      <w:pPr>
        <w:spacing w:after="0" w:line="240" w:lineRule="auto"/>
      </w:pPr>
      <w:r>
        <w:separator/>
      </w:r>
    </w:p>
  </w:endnote>
  <w:endnote w:type="continuationSeparator" w:id="0">
    <w:p w:rsidR="00FD5326" w:rsidRDefault="00FD5326" w:rsidP="0022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656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A43" w:rsidRDefault="00B50A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0A43" w:rsidRDefault="00B50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26" w:rsidRDefault="00FD5326" w:rsidP="002259E2">
      <w:pPr>
        <w:spacing w:after="0" w:line="240" w:lineRule="auto"/>
      </w:pPr>
      <w:r>
        <w:separator/>
      </w:r>
    </w:p>
  </w:footnote>
  <w:footnote w:type="continuationSeparator" w:id="0">
    <w:p w:rsidR="00FD5326" w:rsidRDefault="00FD5326" w:rsidP="00225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E3"/>
    <w:rsid w:val="00010A59"/>
    <w:rsid w:val="00023D4F"/>
    <w:rsid w:val="0002754A"/>
    <w:rsid w:val="00053B05"/>
    <w:rsid w:val="0009551B"/>
    <w:rsid w:val="000D0443"/>
    <w:rsid w:val="000F03D5"/>
    <w:rsid w:val="000F643A"/>
    <w:rsid w:val="00126BE3"/>
    <w:rsid w:val="001E592C"/>
    <w:rsid w:val="00217692"/>
    <w:rsid w:val="00220F53"/>
    <w:rsid w:val="002259E2"/>
    <w:rsid w:val="00314FA9"/>
    <w:rsid w:val="0037790F"/>
    <w:rsid w:val="003C3480"/>
    <w:rsid w:val="004C3029"/>
    <w:rsid w:val="005D2534"/>
    <w:rsid w:val="00630BE0"/>
    <w:rsid w:val="006344D1"/>
    <w:rsid w:val="007F7F81"/>
    <w:rsid w:val="00807CDA"/>
    <w:rsid w:val="00935EC2"/>
    <w:rsid w:val="009B6844"/>
    <w:rsid w:val="00A13E83"/>
    <w:rsid w:val="00AB6484"/>
    <w:rsid w:val="00AB7211"/>
    <w:rsid w:val="00B50A43"/>
    <w:rsid w:val="00C5768D"/>
    <w:rsid w:val="00CB6A7E"/>
    <w:rsid w:val="00D10C9A"/>
    <w:rsid w:val="00E54DCB"/>
    <w:rsid w:val="00EB658D"/>
    <w:rsid w:val="00ED434F"/>
    <w:rsid w:val="00F92E2E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6B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126BE3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fontstyle01">
    <w:name w:val="fontstyle01"/>
    <w:basedOn w:val="DefaultParagraphFont"/>
    <w:rsid w:val="003C348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59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59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59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0A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A43"/>
  </w:style>
  <w:style w:type="paragraph" w:styleId="Footer">
    <w:name w:val="footer"/>
    <w:basedOn w:val="Normal"/>
    <w:link w:val="FooterChar"/>
    <w:uiPriority w:val="99"/>
    <w:unhideWhenUsed/>
    <w:rsid w:val="00B50A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A43"/>
  </w:style>
  <w:style w:type="paragraph" w:styleId="BalloonText">
    <w:name w:val="Balloon Text"/>
    <w:basedOn w:val="Normal"/>
    <w:link w:val="BalloonTextChar"/>
    <w:uiPriority w:val="99"/>
    <w:semiHidden/>
    <w:unhideWhenUsed/>
    <w:rsid w:val="0002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6B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126BE3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fontstyle01">
    <w:name w:val="fontstyle01"/>
    <w:basedOn w:val="DefaultParagraphFont"/>
    <w:rsid w:val="003C348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59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59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59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0A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A43"/>
  </w:style>
  <w:style w:type="paragraph" w:styleId="Footer">
    <w:name w:val="footer"/>
    <w:basedOn w:val="Normal"/>
    <w:link w:val="FooterChar"/>
    <w:uiPriority w:val="99"/>
    <w:unhideWhenUsed/>
    <w:rsid w:val="00B50A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A43"/>
  </w:style>
  <w:style w:type="paragraph" w:styleId="BalloonText">
    <w:name w:val="Balloon Text"/>
    <w:basedOn w:val="Normal"/>
    <w:link w:val="BalloonTextChar"/>
    <w:uiPriority w:val="99"/>
    <w:semiHidden/>
    <w:unhideWhenUsed/>
    <w:rsid w:val="0002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A891-EB97-4095-98E5-06A3208D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sys</cp:lastModifiedBy>
  <cp:revision>3</cp:revision>
  <dcterms:created xsi:type="dcterms:W3CDTF">2017-03-28T12:40:00Z</dcterms:created>
  <dcterms:modified xsi:type="dcterms:W3CDTF">2017-03-28T12:42:00Z</dcterms:modified>
</cp:coreProperties>
</file>