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C8" w:rsidRDefault="00894BC8" w:rsidP="00C10FE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00"/>
        </w:rPr>
      </w:pPr>
      <w:bookmarkStart w:id="0" w:name="_GoBack"/>
      <w:bookmarkEnd w:id="0"/>
    </w:p>
    <w:p w:rsidR="005F7D56" w:rsidRDefault="005F7D56" w:rsidP="00C10FEB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bg-BG"/>
        </w:rPr>
      </w:pPr>
      <w:r>
        <w:rPr>
          <w:rFonts w:ascii="Times New Roman" w:hAnsi="Times New Roman"/>
          <w:b/>
          <w:color w:val="FF0000"/>
          <w:sz w:val="28"/>
          <w:szCs w:val="28"/>
          <w:lang w:val="bg-BG"/>
        </w:rPr>
        <w:t>КОНКУРС ЗА СЕЛЕКЦИЯ НА СТУДЕНТИ И ДОКТОРАНТИ</w:t>
      </w:r>
    </w:p>
    <w:p w:rsidR="005F7D56" w:rsidRPr="005F7D56" w:rsidRDefault="005F7D56" w:rsidP="00C10FEB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bg-BG"/>
        </w:rPr>
      </w:pPr>
      <w:r w:rsidRPr="005F7D56">
        <w:rPr>
          <w:rFonts w:ascii="Times New Roman" w:hAnsi="Times New Roman"/>
          <w:b/>
          <w:color w:val="FF0000"/>
          <w:sz w:val="28"/>
          <w:szCs w:val="28"/>
          <w:lang w:val="bg-BG"/>
        </w:rPr>
        <w:t>ЗА МОБИЛНОСТ С ЦЕЛ ПРАКТИКА</w:t>
      </w:r>
    </w:p>
    <w:p w:rsidR="00C16A5F" w:rsidRPr="00C54B26" w:rsidRDefault="00C16A5F" w:rsidP="00C10FEB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bg-BG"/>
        </w:rPr>
      </w:pPr>
      <w:r w:rsidRPr="00C54B26">
        <w:rPr>
          <w:rFonts w:ascii="Times New Roman" w:hAnsi="Times New Roman"/>
          <w:b/>
          <w:color w:val="002060"/>
          <w:sz w:val="28"/>
          <w:szCs w:val="28"/>
          <w:lang w:val="bg-BG"/>
        </w:rPr>
        <w:t>ПРОГРАМА „ЕРАЗЪМ+“ – КЛЮЧОВА ДЕЙНОСТ 1</w:t>
      </w:r>
    </w:p>
    <w:p w:rsidR="00C16A5F" w:rsidRDefault="007B1851" w:rsidP="00C10FEB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bg-BG"/>
        </w:rPr>
      </w:pPr>
      <w:r w:rsidRPr="00C54B26">
        <w:rPr>
          <w:rFonts w:ascii="Times New Roman" w:hAnsi="Times New Roman"/>
          <w:b/>
          <w:color w:val="002060"/>
          <w:sz w:val="28"/>
          <w:szCs w:val="28"/>
          <w:lang w:val="bg-BG"/>
        </w:rPr>
        <w:t>201</w:t>
      </w:r>
      <w:r w:rsidR="005F7D56">
        <w:rPr>
          <w:rFonts w:ascii="Times New Roman" w:hAnsi="Times New Roman"/>
          <w:b/>
          <w:color w:val="002060"/>
          <w:sz w:val="28"/>
          <w:szCs w:val="28"/>
          <w:lang w:val="bg-BG"/>
        </w:rPr>
        <w:t>6</w:t>
      </w:r>
      <w:r w:rsidRPr="00C54B26">
        <w:rPr>
          <w:rFonts w:ascii="Times New Roman" w:hAnsi="Times New Roman"/>
          <w:b/>
          <w:color w:val="002060"/>
          <w:sz w:val="28"/>
          <w:szCs w:val="28"/>
          <w:lang w:val="bg-BG"/>
        </w:rPr>
        <w:t xml:space="preserve"> / 201</w:t>
      </w:r>
      <w:r w:rsidR="005F7D56">
        <w:rPr>
          <w:rFonts w:ascii="Times New Roman" w:hAnsi="Times New Roman"/>
          <w:b/>
          <w:color w:val="002060"/>
          <w:sz w:val="28"/>
          <w:szCs w:val="28"/>
          <w:lang w:val="bg-BG"/>
        </w:rPr>
        <w:t>7</w:t>
      </w:r>
      <w:r w:rsidRPr="00C54B26">
        <w:rPr>
          <w:rFonts w:ascii="Times New Roman" w:hAnsi="Times New Roman"/>
          <w:b/>
          <w:color w:val="002060"/>
          <w:sz w:val="28"/>
          <w:szCs w:val="28"/>
          <w:lang w:val="bg-BG"/>
        </w:rPr>
        <w:t xml:space="preserve"> г.</w:t>
      </w:r>
    </w:p>
    <w:p w:rsidR="005971AE" w:rsidRPr="005971AE" w:rsidRDefault="005971AE" w:rsidP="00C10FEB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bg-BG"/>
        </w:rPr>
      </w:pPr>
      <w:r w:rsidRPr="005971AE">
        <w:rPr>
          <w:rFonts w:ascii="Times New Roman" w:hAnsi="Times New Roman"/>
          <w:b/>
          <w:color w:val="FF0000"/>
          <w:sz w:val="28"/>
          <w:szCs w:val="28"/>
          <w:lang w:val="bg-BG"/>
        </w:rPr>
        <w:t>ВТОРА СЕЛЕКЦИОННА ПРОЦЕДУРА</w:t>
      </w:r>
    </w:p>
    <w:p w:rsidR="00976BB1" w:rsidRPr="00C54B26" w:rsidRDefault="00976BB1" w:rsidP="00C10FEB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bg-BG"/>
        </w:rPr>
      </w:pPr>
    </w:p>
    <w:p w:rsidR="00A47644" w:rsidRDefault="00A47644" w:rsidP="00F72128">
      <w:pPr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bg-BG"/>
        </w:rPr>
      </w:pPr>
      <w:r w:rsidRPr="00BE2857">
        <w:rPr>
          <w:rFonts w:ascii="Times New Roman" w:hAnsi="Times New Roman"/>
          <w:b/>
          <w:color w:val="002060"/>
          <w:sz w:val="24"/>
          <w:szCs w:val="24"/>
          <w:lang w:val="bg-BG"/>
        </w:rPr>
        <w:t>Уважаеми студенти</w:t>
      </w:r>
      <w:r w:rsidR="00A95772" w:rsidRPr="00BE2857">
        <w:rPr>
          <w:rFonts w:ascii="Times New Roman" w:hAnsi="Times New Roman"/>
          <w:b/>
          <w:color w:val="002060"/>
          <w:sz w:val="24"/>
          <w:szCs w:val="24"/>
          <w:lang w:val="bg-BG"/>
        </w:rPr>
        <w:t xml:space="preserve"> и докторанти</w:t>
      </w:r>
      <w:r w:rsidRPr="00BE2857">
        <w:rPr>
          <w:rFonts w:ascii="Times New Roman" w:hAnsi="Times New Roman"/>
          <w:b/>
          <w:color w:val="002060"/>
          <w:sz w:val="24"/>
          <w:szCs w:val="24"/>
          <w:lang w:val="bg-BG"/>
        </w:rPr>
        <w:t>,</w:t>
      </w:r>
    </w:p>
    <w:p w:rsidR="007D7A81" w:rsidRDefault="007D7A81" w:rsidP="00F7212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СУ „Св. Климент Охридски“ обявява конкурс за селекция на кандидати за провеждане на практики по Програма Еразъм+ през академичната 2016/2017 година.</w:t>
      </w:r>
    </w:p>
    <w:p w:rsidR="008E5EB8" w:rsidRDefault="000104FC" w:rsidP="00F7212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0104F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Практиките в чужбина са допустими </w:t>
      </w:r>
      <w:r w:rsidR="006B3C79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за кандидати, записани </w:t>
      </w:r>
      <w:r w:rsidR="00BD5E8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за получаване на </w:t>
      </w:r>
      <w:r w:rsidR="006B3C79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ОКС Бакалавър, Магистър или Доктор, независимо от формата на обучение</w:t>
      </w:r>
      <w:r w:rsidR="007D7A8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(редовна, задочна, дистанционна)</w:t>
      </w:r>
      <w:r w:rsidR="006B3C79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Pr="000104F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като </w:t>
      </w:r>
      <w:r w:rsidR="00852F69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кандидатстването се осъществява до момента, в който студентът/докторантът има студентски права, а мобилността </w:t>
      </w:r>
      <w:r w:rsidRPr="000104F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трябва да бъде реализирана по време на обучението или до една година след </w:t>
      </w:r>
      <w:r w:rsidR="00F26A44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дипломирането</w:t>
      </w:r>
      <w:r w:rsidRPr="000104F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на студента</w:t>
      </w:r>
      <w:r w:rsidR="004A1DAF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/отчисляването на докторанта</w:t>
      </w:r>
      <w:r w:rsidRPr="000104F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C16A5F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Задължително условие е практиката тематично да съответства на </w:t>
      </w:r>
      <w:r w:rsidR="003E014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областта на знание/</w:t>
      </w:r>
      <w:r w:rsidR="00224A59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специ</w:t>
      </w:r>
      <w:r w:rsidR="00C16A5F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алността </w:t>
      </w:r>
      <w:r w:rsidR="00224A59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на студента/докторанта.</w:t>
      </w:r>
      <w:r w:rsidR="006F592A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813977" w:rsidRPr="000473B3" w:rsidRDefault="00813977" w:rsidP="00F72128">
      <w:pPr>
        <w:spacing w:after="0" w:line="36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val="bg-BG"/>
        </w:rPr>
      </w:pP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Целта </w:t>
      </w:r>
      <w:r w:rsidRPr="00B75CD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на мобилността </w:t>
      </w:r>
      <w:r w:rsidRPr="00B75CD0">
        <w:rPr>
          <w:rFonts w:ascii="Times New Roman" w:eastAsia="Times New Roman" w:hAnsi="Times New Roman"/>
          <w:b/>
          <w:color w:val="002060"/>
          <w:sz w:val="24"/>
          <w:szCs w:val="24"/>
          <w:lang w:val="bg-BG"/>
        </w:rPr>
        <w:t xml:space="preserve">е </w:t>
      </w:r>
      <w:r w:rsidRPr="00BE2857">
        <w:rPr>
          <w:rFonts w:ascii="Times New Roman" w:eastAsia="Times New Roman" w:hAnsi="Times New Roman"/>
          <w:b/>
          <w:color w:val="002060"/>
          <w:sz w:val="24"/>
          <w:szCs w:val="24"/>
          <w:lang w:val="bg-BG"/>
        </w:rPr>
        <w:t>придобиване на специфични практически умения</w:t>
      </w:r>
      <w:r w:rsidRPr="00B75CD0">
        <w:rPr>
          <w:rFonts w:ascii="Times New Roman" w:eastAsia="Times New Roman" w:hAnsi="Times New Roman"/>
          <w:b/>
          <w:color w:val="002060"/>
          <w:sz w:val="24"/>
          <w:szCs w:val="24"/>
          <w:lang w:val="bg-BG"/>
        </w:rPr>
        <w:t xml:space="preserve"> по специалността на студента/докторанта</w:t>
      </w:r>
      <w:r w:rsidRPr="00BE2857">
        <w:rPr>
          <w:rFonts w:ascii="Times New Roman" w:eastAsia="Times New Roman" w:hAnsi="Times New Roman"/>
          <w:b/>
          <w:color w:val="002060"/>
          <w:sz w:val="24"/>
          <w:szCs w:val="24"/>
          <w:lang w:val="bg-BG"/>
        </w:rPr>
        <w:t xml:space="preserve">. </w:t>
      </w:r>
      <w:r w:rsidR="004054A1">
        <w:rPr>
          <w:rFonts w:ascii="Times New Roman" w:eastAsia="Times New Roman" w:hAnsi="Times New Roman"/>
          <w:b/>
          <w:color w:val="002060"/>
          <w:sz w:val="24"/>
          <w:szCs w:val="24"/>
          <w:lang w:val="bg-BG"/>
        </w:rPr>
        <w:t xml:space="preserve">Не се допускат дейности, които попадат в </w:t>
      </w:r>
      <w:r w:rsidR="008E5EB8">
        <w:rPr>
          <w:rFonts w:ascii="Times New Roman" w:eastAsia="Times New Roman" w:hAnsi="Times New Roman"/>
          <w:b/>
          <w:color w:val="002060"/>
          <w:sz w:val="24"/>
          <w:szCs w:val="24"/>
          <w:lang w:val="bg-BG"/>
        </w:rPr>
        <w:t xml:space="preserve">обхвата </w:t>
      </w:r>
      <w:r w:rsidR="008E5EB8" w:rsidRPr="000473B3">
        <w:rPr>
          <w:rFonts w:ascii="Times New Roman" w:eastAsia="Times New Roman" w:hAnsi="Times New Roman"/>
          <w:b/>
          <w:color w:val="002060"/>
          <w:sz w:val="24"/>
          <w:szCs w:val="24"/>
          <w:lang w:val="bg-BG"/>
        </w:rPr>
        <w:t>на „мобилност с цел обучение“</w:t>
      </w:r>
      <w:r w:rsidR="004054A1" w:rsidRPr="000473B3">
        <w:rPr>
          <w:rFonts w:ascii="Times New Roman" w:eastAsia="Times New Roman" w:hAnsi="Times New Roman"/>
          <w:b/>
          <w:color w:val="002060"/>
          <w:sz w:val="24"/>
          <w:szCs w:val="24"/>
          <w:lang w:val="bg-BG"/>
        </w:rPr>
        <w:t>.</w:t>
      </w:r>
      <w:r w:rsidR="008E5EB8" w:rsidRPr="000473B3">
        <w:rPr>
          <w:rFonts w:ascii="Times New Roman" w:eastAsia="Times New Roman" w:hAnsi="Times New Roman"/>
          <w:b/>
          <w:color w:val="002060"/>
          <w:sz w:val="24"/>
          <w:szCs w:val="24"/>
          <w:lang w:val="bg-BG"/>
        </w:rPr>
        <w:t xml:space="preserve"> </w:t>
      </w:r>
    </w:p>
    <w:p w:rsidR="003B0868" w:rsidRPr="000473B3" w:rsidRDefault="003B0868" w:rsidP="00F72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473B3">
        <w:rPr>
          <w:rFonts w:ascii="Times New Roman" w:hAnsi="Times New Roman"/>
          <w:color w:val="000000"/>
          <w:sz w:val="24"/>
          <w:szCs w:val="24"/>
          <w:lang w:val="bg-BG"/>
        </w:rPr>
        <w:t>Мобилностите с цел практика за студенти и докторанти от СУ „Св. Климент Охридски</w:t>
      </w:r>
      <w:r w:rsidR="003374AE" w:rsidRPr="000473B3">
        <w:rPr>
          <w:rFonts w:ascii="Times New Roman" w:hAnsi="Times New Roman"/>
          <w:color w:val="000000"/>
          <w:sz w:val="24"/>
          <w:szCs w:val="24"/>
          <w:lang w:val="bg-BG"/>
        </w:rPr>
        <w:t>“ се</w:t>
      </w:r>
      <w:r w:rsidRPr="000473B3">
        <w:rPr>
          <w:rFonts w:ascii="Times New Roman" w:hAnsi="Times New Roman"/>
          <w:color w:val="000000"/>
          <w:sz w:val="24"/>
          <w:szCs w:val="24"/>
          <w:lang w:val="bg-BG"/>
        </w:rPr>
        <w:t xml:space="preserve">  осъществяват в партньорство с Консорциума за студентски практики ЕРАЗЪМ – </w:t>
      </w:r>
      <w:r w:rsidRPr="000473B3">
        <w:rPr>
          <w:rFonts w:ascii="Times New Roman" w:hAnsi="Times New Roman"/>
          <w:b/>
          <w:color w:val="000000"/>
          <w:sz w:val="24"/>
          <w:szCs w:val="24"/>
          <w:lang w:val="bg-BG"/>
        </w:rPr>
        <w:t>“Асоциация за подпомагане на академичната общност” (АПАО)</w:t>
      </w:r>
      <w:r w:rsidRPr="000473B3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hyperlink r:id="rId7" w:history="1">
        <w:r w:rsidRPr="000473B3">
          <w:rPr>
            <w:rStyle w:val="Hyperlink"/>
            <w:rFonts w:ascii="Times New Roman" w:hAnsi="Times New Roman"/>
            <w:b/>
            <w:sz w:val="24"/>
            <w:szCs w:val="24"/>
          </w:rPr>
          <w:t>http</w:t>
        </w:r>
        <w:r w:rsidRPr="000473B3">
          <w:rPr>
            <w:rStyle w:val="Hyperlink"/>
            <w:rFonts w:ascii="Times New Roman" w:hAnsi="Times New Roman"/>
            <w:b/>
            <w:sz w:val="24"/>
            <w:szCs w:val="24"/>
            <w:lang w:val="bg-BG"/>
          </w:rPr>
          <w:t>://</w:t>
        </w:r>
        <w:r w:rsidRPr="000473B3">
          <w:rPr>
            <w:rStyle w:val="Hyperlink"/>
            <w:rFonts w:ascii="Times New Roman" w:hAnsi="Times New Roman"/>
            <w:b/>
            <w:sz w:val="24"/>
            <w:szCs w:val="24"/>
          </w:rPr>
          <w:t>isic</w:t>
        </w:r>
        <w:r w:rsidRPr="000473B3">
          <w:rPr>
            <w:rStyle w:val="Hyperlink"/>
            <w:rFonts w:ascii="Times New Roman" w:hAnsi="Times New Roman"/>
            <w:b/>
            <w:sz w:val="24"/>
            <w:szCs w:val="24"/>
            <w:lang w:val="bg-BG"/>
          </w:rPr>
          <w:t>.</w:t>
        </w:r>
        <w:r w:rsidRPr="000473B3">
          <w:rPr>
            <w:rStyle w:val="Hyperlink"/>
            <w:rFonts w:ascii="Times New Roman" w:hAnsi="Times New Roman"/>
            <w:b/>
            <w:sz w:val="24"/>
            <w:szCs w:val="24"/>
          </w:rPr>
          <w:t>bg</w:t>
        </w:r>
        <w:r w:rsidRPr="000473B3">
          <w:rPr>
            <w:rStyle w:val="Hyperlink"/>
            <w:rFonts w:ascii="Times New Roman" w:hAnsi="Times New Roman"/>
            <w:b/>
            <w:sz w:val="24"/>
            <w:szCs w:val="24"/>
            <w:lang w:val="bg-BG"/>
          </w:rPr>
          <w:t>/</w:t>
        </w:r>
      </w:hyperlink>
      <w:r w:rsidR="000473B3" w:rsidRPr="000473B3">
        <w:rPr>
          <w:rStyle w:val="Hyperlink"/>
          <w:rFonts w:ascii="Times New Roman" w:hAnsi="Times New Roman"/>
          <w:b/>
          <w:sz w:val="24"/>
          <w:szCs w:val="24"/>
          <w:lang w:val="bg-BG"/>
        </w:rPr>
        <w:t>,</w:t>
      </w:r>
      <w:r w:rsidR="000473B3" w:rsidRPr="000473B3">
        <w:rPr>
          <w:rStyle w:val="Hyperlink"/>
          <w:rFonts w:ascii="Times New Roman" w:hAnsi="Times New Roman"/>
          <w:b/>
          <w:sz w:val="24"/>
          <w:szCs w:val="24"/>
          <w:u w:val="none"/>
          <w:lang w:val="bg-BG"/>
        </w:rPr>
        <w:t xml:space="preserve"> </w:t>
      </w:r>
      <w:r w:rsidR="000473B3" w:rsidRPr="000473B3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bg-BG"/>
        </w:rPr>
        <w:t>като финансирането се предоставя от АПАО.</w:t>
      </w:r>
    </w:p>
    <w:p w:rsidR="00224A59" w:rsidRPr="00813977" w:rsidRDefault="000104FC" w:rsidP="00F7212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0104F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Продължителност</w:t>
      </w:r>
      <w:r w:rsidR="00C16A5F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та </w:t>
      </w:r>
      <w:r w:rsidRPr="000104F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на мобилността </w:t>
      </w:r>
      <w:r w:rsidR="00F26A44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е</w:t>
      </w:r>
      <w:r w:rsidR="00C16A5F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C16A5F" w:rsidRPr="00B10D6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от</w:t>
      </w:r>
      <w:r w:rsidR="00C16A5F" w:rsidRPr="00B10D60">
        <w:rPr>
          <w:rFonts w:ascii="Times New Roman" w:eastAsia="Times New Roman" w:hAnsi="Times New Roman"/>
          <w:color w:val="FF0000"/>
          <w:sz w:val="24"/>
          <w:szCs w:val="24"/>
          <w:u w:val="single"/>
          <w:lang w:val="bg-BG"/>
        </w:rPr>
        <w:t xml:space="preserve"> </w:t>
      </w:r>
      <w:r w:rsidR="00224A59" w:rsidRPr="00B10D6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2 месеца </w:t>
      </w:r>
      <w:r w:rsidR="00C16A5F" w:rsidRPr="00B10D6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до </w:t>
      </w:r>
      <w:r w:rsidR="00F26A44" w:rsidRPr="00B10D6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6</w:t>
      </w:r>
      <w:r w:rsidR="00224A59" w:rsidRPr="00B10D6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 месеца</w:t>
      </w:r>
      <w:r w:rsidR="00C16A5F" w:rsidRPr="00B10D6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, </w:t>
      </w:r>
      <w:r w:rsidR="00C16A5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като </w:t>
      </w:r>
      <w:r w:rsidR="003B086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се прилага правилото на </w:t>
      </w:r>
      <w:r w:rsidR="003B0868" w:rsidRPr="003B086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Е</w:t>
      </w:r>
      <w:r w:rsidR="003B086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вропейската комисия, че </w:t>
      </w:r>
      <w:r w:rsidR="003B0868" w:rsidRPr="003B086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общата продължителност на мобилността с цел обучение и мобилността с цел практика не може да надвишава 12 месеца </w:t>
      </w:r>
      <w:r w:rsidR="003B086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за една </w:t>
      </w:r>
      <w:r w:rsidR="00C16A5F" w:rsidRPr="00C16A5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образователно-</w:t>
      </w:r>
      <w:r w:rsidR="00C16A5F" w:rsidRPr="00C16A5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lastRenderedPageBreak/>
        <w:t>квалификационна степен</w:t>
      </w:r>
      <w:r w:rsidR="0081397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. </w:t>
      </w:r>
      <w:r w:rsidR="00813977" w:rsidRPr="00813977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Пример:</w:t>
      </w:r>
      <w:r w:rsidR="00813977" w:rsidRPr="0081397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С</w:t>
      </w:r>
      <w:r w:rsidR="00C16A5F" w:rsidRPr="0081397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тудент в ОКС Бакалвър, който е участвал в мобилност с цел обучение</w:t>
      </w:r>
      <w:r w:rsidR="00C60B4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/практика</w:t>
      </w:r>
      <w:r w:rsidR="00C16A5F" w:rsidRPr="0081397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с продъ</w:t>
      </w:r>
      <w:r w:rsidR="00C54B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л</w:t>
      </w:r>
      <w:r w:rsidR="00C16A5F" w:rsidRPr="0081397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жителност 6 месеца, може да кандидатства за мобилност с цел практика </w:t>
      </w:r>
      <w:r w:rsidR="00C16A5F" w:rsidRPr="00B10D60">
        <w:rPr>
          <w:rFonts w:ascii="Times New Roman" w:eastAsia="Times New Roman" w:hAnsi="Times New Roman"/>
          <w:sz w:val="24"/>
          <w:szCs w:val="24"/>
          <w:lang w:val="bg-BG"/>
        </w:rPr>
        <w:t>за не повече от 6 месеца.</w:t>
      </w:r>
      <w:r w:rsidR="00F26A44" w:rsidRPr="00B10D60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F26A44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Мобилност с цел практика с продължителност по-</w:t>
      </w:r>
      <w:r w:rsidR="00F26A44" w:rsidRPr="0049229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малка от 2 месеца н</w:t>
      </w:r>
      <w:r w:rsidR="00C54B26" w:rsidRPr="0049229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е се допуска и н</w:t>
      </w:r>
      <w:r w:rsidR="00F26A44" w:rsidRPr="0049229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яма да бъде призната</w:t>
      </w:r>
      <w:r w:rsidR="0049229C" w:rsidRPr="0049229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C16A5F" w:rsidRDefault="00C16A5F" w:rsidP="00C10FEB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</w:pPr>
    </w:p>
    <w:p w:rsidR="00224A59" w:rsidRPr="002D1F73" w:rsidRDefault="00224A59" w:rsidP="00C10FEB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bg-BG"/>
        </w:rPr>
      </w:pPr>
      <w:r w:rsidRPr="00224A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bg-BG"/>
        </w:rPr>
        <w:t xml:space="preserve">Период на провеждане </w:t>
      </w:r>
      <w:r w:rsidR="003B08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bg-BG"/>
        </w:rPr>
        <w:t xml:space="preserve">на практиките </w:t>
      </w:r>
      <w:r w:rsidRPr="00224A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 </w:t>
      </w:r>
      <w:r w:rsidRPr="004B547B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bg-BG"/>
        </w:rPr>
        <w:t xml:space="preserve">от </w:t>
      </w:r>
      <w:r w:rsidR="00F26A44" w:rsidRPr="004B547B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bg-BG"/>
        </w:rPr>
        <w:t>1</w:t>
      </w:r>
      <w:r w:rsidRPr="004B547B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bg-BG"/>
        </w:rPr>
        <w:t xml:space="preserve"> </w:t>
      </w:r>
      <w:r w:rsidR="00037AAE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bg-BG"/>
        </w:rPr>
        <w:t>деке</w:t>
      </w:r>
      <w:r w:rsidR="00DD38AB" w:rsidRPr="004B547B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bg-BG"/>
        </w:rPr>
        <w:t>мври 201</w:t>
      </w:r>
      <w:r w:rsidR="00C60B45" w:rsidRPr="004B547B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bg-BG"/>
        </w:rPr>
        <w:t>6</w:t>
      </w:r>
      <w:r w:rsidR="00C16A5F" w:rsidRPr="004B547B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bg-BG"/>
        </w:rPr>
        <w:t xml:space="preserve"> г. до </w:t>
      </w:r>
      <w:r w:rsidRPr="004B547B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bg-BG"/>
        </w:rPr>
        <w:t xml:space="preserve">30 септември </w:t>
      </w:r>
      <w:r w:rsidR="00C16A5F" w:rsidRPr="004B547B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bg-BG"/>
        </w:rPr>
        <w:t>201</w:t>
      </w:r>
      <w:r w:rsidR="00C60B45" w:rsidRPr="004B547B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bg-BG"/>
        </w:rPr>
        <w:t>7</w:t>
      </w:r>
      <w:r w:rsidR="00C16A5F" w:rsidRPr="004B547B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bg-BG"/>
        </w:rPr>
        <w:t xml:space="preserve"> г.</w:t>
      </w:r>
    </w:p>
    <w:p w:rsidR="00DD38AB" w:rsidRDefault="00DD38AB" w:rsidP="00C10FE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val="bg-BG"/>
        </w:rPr>
      </w:pPr>
    </w:p>
    <w:p w:rsidR="005239E6" w:rsidRDefault="005239E6" w:rsidP="00C10FE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val="bg-BG"/>
        </w:rPr>
      </w:pPr>
      <w:r w:rsidRPr="007B4F25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val="bg-BG"/>
        </w:rPr>
        <w:t>Къде мо</w:t>
      </w:r>
      <w:r w:rsidR="00C60B45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val="bg-BG"/>
        </w:rPr>
        <w:t xml:space="preserve">гат </w:t>
      </w:r>
      <w:r w:rsidRPr="007B4F25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val="bg-BG"/>
        </w:rPr>
        <w:t>да се реализират практиките:</w:t>
      </w:r>
    </w:p>
    <w:p w:rsidR="007A6515" w:rsidRDefault="001C4681" w:rsidP="00C10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Студентите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/докторантите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могат да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осъществят </w:t>
      </w:r>
      <w:r w:rsidRPr="00FC62B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практика по програма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Еразъм</w:t>
      </w:r>
      <w:r w:rsidRPr="00FC62B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+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в</w:t>
      </w:r>
      <w:r w:rsidR="007A651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следните легитимни държави: </w:t>
      </w:r>
    </w:p>
    <w:p w:rsidR="001C4681" w:rsidRPr="00BE2857" w:rsidRDefault="001C4681" w:rsidP="00C10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Австрия, Белгия, Великобритания, Германия, Гърция, Дания, Естония, Кипър, Испания, Италия, Ирландия, Латвия, Литва, Люксембург, Малта,</w:t>
      </w:r>
      <w:r w:rsidR="00DD38A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Полша, Португалия, Румъния, Словения, Словакия, Унгария, Финландия, Франция, Холандия, </w:t>
      </w:r>
      <w:r w:rsidR="00FC62B3" w:rsidRPr="00FC62B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Хърватска,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Чешка Република</w:t>
      </w:r>
      <w:r w:rsidR="007A651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Швеция</w:t>
      </w:r>
      <w:r w:rsidR="0023735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Исландия, Лихтенщайн</w:t>
      </w:r>
      <w:r w:rsidR="008F591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</w:t>
      </w:r>
      <w:r w:rsidR="00D32CA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Норвегия,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Турция</w:t>
      </w:r>
      <w:r w:rsidR="00DD38A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DD38AB" w:rsidRPr="00B34EDA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Македония</w:t>
      </w:r>
      <w:r w:rsidR="0023735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. </w:t>
      </w:r>
    </w:p>
    <w:p w:rsidR="00067B15" w:rsidRDefault="001C4681" w:rsidP="00C10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Приемащ работодател </w:t>
      </w:r>
      <w:r w:rsidR="00067B1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по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програма Еразъм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+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може да бъде</w:t>
      </w:r>
      <w:r w:rsidR="00067B1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067B15" w:rsidRPr="00C10FEB" w:rsidRDefault="00067B15" w:rsidP="00C10FEB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Висше учебно заведение, на което е присъдена Еразъм харта</w:t>
      </w:r>
    </w:p>
    <w:p w:rsidR="00067B15" w:rsidRPr="00C10FEB" w:rsidRDefault="00067B15" w:rsidP="00C10FEB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Всяка публична или частна организация, която предлага възможности за труд, напр.:</w:t>
      </w:r>
    </w:p>
    <w:p w:rsidR="00067B15" w:rsidRPr="00BE2857" w:rsidRDefault="00067B15" w:rsidP="00C10FEB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Публично или частно малко, средно или голямо предприятие</w:t>
      </w:r>
      <w:r w:rsidR="00F72128"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(вкл. социални предприятия)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067B15" w:rsidRPr="00BE2857" w:rsidRDefault="00067B15" w:rsidP="00C10FEB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Местна, регионална или национална публична институция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067B15" w:rsidRPr="00BE2857" w:rsidRDefault="00067B15" w:rsidP="00C10FEB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Социален 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партнь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ор или друга организация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като Търговска камара, 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б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раншова/професионална организация и профсъюз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067B15" w:rsidRPr="00067B15" w:rsidRDefault="00067B15" w:rsidP="00C10FEB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Изследователски институт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067B15" w:rsidRPr="00067B15" w:rsidRDefault="00067B15" w:rsidP="00C10FEB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Фондация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067B15" w:rsidRPr="00067B15" w:rsidRDefault="00067B15" w:rsidP="00C10FEB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Училище, ин</w:t>
      </w:r>
      <w:r w:rsidR="00F7212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ститут, обучителен център (на вс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ички нива, вкл. професионално образование и образование за възра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стни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)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067B15" w:rsidRPr="00067B15" w:rsidRDefault="00067B15" w:rsidP="00C10FEB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Неправителствена организация, асоциация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C7006" w:rsidRPr="00DC7006" w:rsidRDefault="00DC7006" w:rsidP="00C10FEB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Институция за кариерно развитие, професионално ориентиране и информационни услуги.</w:t>
      </w:r>
    </w:p>
    <w:p w:rsidR="008F591C" w:rsidRPr="008F591C" w:rsidRDefault="00DC7006" w:rsidP="00C10FE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F591C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Важно:</w:t>
      </w:r>
      <w:r w:rsidRPr="008F591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не се допуска осъ</w:t>
      </w:r>
      <w:r w:rsidR="008F591C" w:rsidRPr="008F591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щест</w:t>
      </w:r>
      <w:r w:rsidRPr="008F591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вяване на </w:t>
      </w:r>
      <w:r w:rsidR="008F591C" w:rsidRPr="008F591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мобилност с цел практика в</w:t>
      </w:r>
      <w:r w:rsidR="008F591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:</w:t>
      </w:r>
      <w:r w:rsidR="008F591C" w:rsidRPr="008F591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8F591C" w:rsidRPr="00163B62" w:rsidRDefault="008F591C" w:rsidP="00C10FE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F591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lastRenderedPageBreak/>
        <w:t>Институции на ЕС или други органи на ЕС, вкл. специализирани агенции (изчерпателен списък е наличен на уеб-сайт</w:t>
      </w:r>
      <w:r w:rsidR="007A651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а</w:t>
      </w:r>
      <w:r w:rsidRPr="008F591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: </w:t>
      </w:r>
      <w:r w:rsidRPr="008F591C">
        <w:rPr>
          <w:rFonts w:ascii="Times New Roman" w:eastAsia="Times New Roman" w:hAnsi="Times New Roman"/>
          <w:color w:val="000000" w:themeColor="text1"/>
          <w:sz w:val="24"/>
          <w:szCs w:val="24"/>
        </w:rPr>
        <w:t>ec.europa.eu/institutions/index_en.htm</w:t>
      </w:r>
      <w:r w:rsidRPr="008F591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) </w:t>
      </w:r>
    </w:p>
    <w:p w:rsidR="00163B62" w:rsidRPr="00163B62" w:rsidRDefault="00163B62" w:rsidP="00C10FE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63B62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Д</w:t>
      </w:r>
      <w:r w:rsidRPr="00163B62">
        <w:rPr>
          <w:rFonts w:ascii="Times New Roman" w:hAnsi="Times New Roman"/>
          <w:sz w:val="24"/>
          <w:szCs w:val="24"/>
          <w:shd w:val="clear" w:color="auto" w:fill="FFFFFF"/>
        </w:rPr>
        <w:t>ипломатически представителства</w:t>
      </w:r>
    </w:p>
    <w:p w:rsidR="001C4681" w:rsidRPr="00BE2857" w:rsidRDefault="008F591C" w:rsidP="00C10FE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8F591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Организации, к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оито управляват програми на ЕС (напр. Н</w:t>
      </w:r>
      <w:r w:rsidRPr="008F591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ационални агенции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)</w:t>
      </w:r>
      <w:r w:rsidRPr="008F591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, с цел </w:t>
      </w:r>
      <w:r w:rsidRP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избягване на конфликт на интереси и/или двойно финансиране</w:t>
      </w:r>
      <w:r w:rsidR="001C4681"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C436BB" w:rsidRDefault="00C436BB" w:rsidP="00C10FEB">
      <w:pPr>
        <w:spacing w:after="0" w:line="36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val="bg-BG"/>
        </w:rPr>
      </w:pPr>
    </w:p>
    <w:p w:rsidR="00776CC9" w:rsidRPr="00C10FEB" w:rsidRDefault="00776CC9" w:rsidP="00C10FEB">
      <w:pPr>
        <w:spacing w:after="0" w:line="36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val="bg-BG"/>
        </w:rPr>
      </w:pPr>
      <w:r w:rsidRPr="008223B1">
        <w:rPr>
          <w:rFonts w:ascii="Times New Roman" w:eastAsia="Times New Roman" w:hAnsi="Times New Roman"/>
          <w:b/>
          <w:color w:val="002060"/>
          <w:sz w:val="24"/>
          <w:szCs w:val="24"/>
          <w:lang w:val="bg-BG"/>
        </w:rPr>
        <w:t>Критерии за допустимост на кандидатите:</w:t>
      </w:r>
    </w:p>
    <w:p w:rsidR="009072C5" w:rsidRDefault="009072C5" w:rsidP="009072C5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072C5" w:rsidRPr="0099473E" w:rsidRDefault="009072C5" w:rsidP="009072C5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99473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1. Кандидатите трябва да са студенти, които към момента на кандидатстване са записани в СУ за получаване на ОКС „Бакалавър“, „Магистър“ или „Доктор“, независимо от формата на обучение и да имат студентски права.</w:t>
      </w:r>
    </w:p>
    <w:p w:rsidR="009072C5" w:rsidRPr="00BE2857" w:rsidRDefault="009072C5" w:rsidP="009072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99473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Студенти, които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преди датата на кандидатстване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имат успешно завършени два семестъра на следването си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в ОКС „Бакалавър“.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тудентите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в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първи курс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на ОКС „Магистър“ и новозачислените докторанти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са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допустими да кандидатстват. </w:t>
      </w:r>
    </w:p>
    <w:p w:rsidR="009072C5" w:rsidRPr="00BE2857" w:rsidRDefault="009072C5" w:rsidP="009072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3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 Да владеят езика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/ците, на който/ито ще се провежда практиката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9072C5" w:rsidRPr="00BE2857" w:rsidRDefault="009072C5" w:rsidP="009072C5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4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 Да отговаря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т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на изискването - всеки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кандидат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има право на максимум 12 месеца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мобилност по програма Еразъм и Еразъм+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(общо обучение и практика) за всяка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ОКС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- бакалавър, магистър, докторант.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За с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пециалности, завършващи с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присъждане на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магистърска степен 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напр.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Право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 Медицина, …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)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е допустима мобилност с продължителност до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24 месеца.</w:t>
      </w:r>
    </w:p>
    <w:p w:rsidR="009072C5" w:rsidRDefault="009072C5" w:rsidP="009072C5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5</w:t>
      </w:r>
      <w:r w:rsidRPr="0023735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Да имат м</w:t>
      </w:r>
      <w:r w:rsidRPr="0023735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инимален успех от обучението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СУ „Св. Климент Охридски“ – Мн. добър 4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5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0.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За бакалаври и магистри се взема средния успех до момента на кандидатстването за мобилността.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За новозаписани магистри се взема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успеха, с който кандидатът е приет в съответната Магистърска програма</w:t>
      </w:r>
      <w:r w:rsidRPr="008A5DAF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За докторанти се взема среден успех от приемните изпити.</w:t>
      </w:r>
    </w:p>
    <w:p w:rsidR="009072C5" w:rsidRPr="009F68F5" w:rsidRDefault="009072C5" w:rsidP="009072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6</w:t>
      </w:r>
      <w:r w:rsidRPr="009F68F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9F68F5">
        <w:rPr>
          <w:rFonts w:ascii="Times New Roman" w:eastAsia="Times New Roman" w:hAnsi="Times New Roman"/>
          <w:sz w:val="24"/>
          <w:szCs w:val="24"/>
          <w:lang w:val="bg-BG"/>
        </w:rPr>
        <w:t>Не се допуска едновременно провеждане на мобилност с цел обучение и мобилност с цел практика по програма „Еразъм +”.</w:t>
      </w:r>
    </w:p>
    <w:p w:rsidR="009072C5" w:rsidRPr="009F68F5" w:rsidRDefault="009072C5" w:rsidP="009072C5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7</w:t>
      </w:r>
      <w:r w:rsidRPr="009F68F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 Студентите и докторантите подават техните кандидатури до момента, в който имат студентски права, както следва:</w:t>
      </w:r>
    </w:p>
    <w:p w:rsidR="009072C5" w:rsidRPr="009F68F5" w:rsidRDefault="009072C5" w:rsidP="009072C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9F68F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lastRenderedPageBreak/>
        <w:t>За студенти, съгл. чл. 134 (4) от Правилника за устройството и дейността на СУ „Св. Климент Охридски“- „Правата на действащ студент се упражняват до първата държавна изпитна сесия след успешно семестриално завършване по учебния план, по който е приет студента“.</w:t>
      </w:r>
    </w:p>
    <w:p w:rsidR="009072C5" w:rsidRPr="00472B3C" w:rsidRDefault="009072C5" w:rsidP="009072C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9F68F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За докторанти: към момента</w:t>
      </w:r>
      <w:r w:rsidRPr="004A1DAF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на кандидатстване следва да бъдат зачислени на основание Заповед на ректора.</w:t>
      </w:r>
    </w:p>
    <w:p w:rsidR="00C10FEB" w:rsidRPr="00C10FEB" w:rsidRDefault="00C10FEB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</w:p>
    <w:p w:rsidR="00A47644" w:rsidRPr="00BE2857" w:rsidRDefault="00A47644" w:rsidP="00C10FE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</w:pPr>
      <w:r w:rsidRPr="00BE28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>ЕТАПИ НА УЧАСТИЕ</w:t>
      </w:r>
    </w:p>
    <w:p w:rsidR="00A47644" w:rsidRPr="0080405B" w:rsidRDefault="00931488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BE28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1. </w:t>
      </w:r>
      <w:r w:rsidR="008E0F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>При</w:t>
      </w:r>
      <w:r w:rsidR="0080405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>е</w:t>
      </w:r>
      <w:r w:rsidR="008E0F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>мащи институции</w:t>
      </w:r>
      <w:r w:rsidR="00A47644" w:rsidRPr="00BE28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 </w:t>
      </w:r>
      <w:r w:rsidR="0080405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/ работодатели </w:t>
      </w:r>
    </w:p>
    <w:p w:rsidR="00056FCE" w:rsidRDefault="00DB5935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Всички заинтересовани студенти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/докторанти могат да се информират </w:t>
      </w:r>
      <w:r w:rsidR="00DB47ED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относно </w:t>
      </w:r>
      <w:r w:rsidR="008E0F6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приемащите институции, където могат да се провед</w:t>
      </w:r>
      <w:r w:rsidR="000B72F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е</w:t>
      </w:r>
      <w:r w:rsidR="008E0F6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парктиките, публикувани на уеб-сайта на 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АПАО -</w:t>
      </w:r>
      <w:r w:rsidR="00056FCE" w:rsidRP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hyperlink r:id="rId8" w:history="1">
        <w:r w:rsidR="00056FCE" w:rsidRPr="000B0F90">
          <w:rPr>
            <w:rStyle w:val="Hyperlink"/>
            <w:rFonts w:ascii="Times New Roman" w:eastAsia="Times New Roman" w:hAnsi="Times New Roman"/>
            <w:sz w:val="24"/>
            <w:szCs w:val="24"/>
            <w:lang w:val="bg-BG"/>
          </w:rPr>
          <w:t>http://isic.bg</w:t>
        </w:r>
      </w:hyperlink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, както и да се свържат с </w:t>
      </w:r>
      <w:r w:rsidR="0093148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експертите о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т АПАО, които отговарят за студентската мобилност</w:t>
      </w:r>
      <w:r w:rsidR="00503D3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с цел практика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056FCE" w:rsidRDefault="00931488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Студентите/докторан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тите </w:t>
      </w:r>
      <w:r w:rsidR="000B72F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могат да 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кандидатст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ват 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за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мобилност с цел практика 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 при други работодатели, които не са вкл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ю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чени в списъка, публику</w:t>
      </w:r>
      <w:r w:rsidR="00EE28F9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ван на у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еб-сайта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на АПАО </w:t>
      </w:r>
      <w:hyperlink r:id="rId9" w:history="1">
        <w:r w:rsidR="00056FCE" w:rsidRPr="000B0F90">
          <w:rPr>
            <w:rStyle w:val="Hyperlink"/>
            <w:rFonts w:ascii="Times New Roman" w:eastAsia="Times New Roman" w:hAnsi="Times New Roman"/>
            <w:sz w:val="24"/>
            <w:szCs w:val="24"/>
            <w:lang w:val="bg-BG"/>
          </w:rPr>
          <w:t>http://isic.bg</w:t>
        </w:r>
      </w:hyperlink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, като </w:t>
      </w:r>
      <w:r w:rsidR="005D2F3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в то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зи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случай важат правилата за съответс</w:t>
      </w:r>
      <w:r w:rsidR="00464699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т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вие на практиката 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областта на знание/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специалността на кандидата и </w:t>
      </w:r>
      <w:r w:rsidR="00DB47ED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изискванията за легитимност на работодателите (вж. по-горе)</w:t>
      </w:r>
      <w:r w:rsidR="00056FC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0B72F6" w:rsidRDefault="000B72F6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В двата случая кандидатите </w:t>
      </w:r>
      <w:r w:rsidRPr="00D42EA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сами се свързват с потенциалния работодател,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който трябва да му изпрати Писмо-покана (по </w:t>
      </w:r>
      <w:r w:rsidR="001E0CFA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приложения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образец), ако е съгласен да приеме студента/докторанта</w:t>
      </w:r>
      <w:r w:rsidR="009023B4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за осъществяване на практика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. В комплекта документи за кандидатстване се прилага само една покана </w:t>
      </w:r>
      <w:r w:rsidR="00947CF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и само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от</w:t>
      </w:r>
      <w:r w:rsidR="003F49B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един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работодател</w:t>
      </w:r>
      <w:r w:rsidR="000E6B54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(2 екземпляра)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</w:t>
      </w:r>
      <w:r w:rsidR="00D42EAD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80405B" w:rsidRDefault="0080405B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</w:p>
    <w:p w:rsidR="00056FCE" w:rsidRPr="00931488" w:rsidRDefault="00056FCE" w:rsidP="00C10FE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</w:pPr>
      <w:r w:rsidRPr="0093148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2. </w:t>
      </w:r>
      <w:r w:rsidR="0093148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Финансиране на мобилността с цел практика</w:t>
      </w:r>
      <w:r w:rsidRPr="0093148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:</w:t>
      </w:r>
    </w:p>
    <w:p w:rsidR="00A840C9" w:rsidRPr="00A840C9" w:rsidRDefault="00F045A3" w:rsidP="00C10FE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</w:pPr>
      <w:r w:rsidRPr="005E4F0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За периода на практиката студентът/докторантът получава </w:t>
      </w:r>
      <w:r w:rsidR="0093148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финансова помощ под формата на месечен грант, целящ</w:t>
      </w:r>
      <w:r w:rsidRPr="005E4F0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да подпомогне мобилността. Грантът не е стипендия и не предвижда цялостно покриване на разходите по мобилността.</w:t>
      </w:r>
      <w:r w:rsidR="0093148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D42EAD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Финансовата помощ се отпуска от АПАО, след двустранно подписване на </w:t>
      </w:r>
      <w:r w:rsidR="00D42EAD" w:rsidRPr="00D42EAD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споразумение между </w:t>
      </w:r>
      <w:r w:rsidR="00D42EAD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одобрения </w:t>
      </w:r>
      <w:r w:rsidR="00D42EAD" w:rsidRPr="00D42EAD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студент </w:t>
      </w:r>
      <w:r w:rsidR="00D42EAD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и АПАО. </w:t>
      </w:r>
    </w:p>
    <w:p w:rsidR="00056FCE" w:rsidRPr="009E7372" w:rsidRDefault="00F045A3" w:rsidP="00C10FE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</w:pPr>
      <w:r w:rsidRPr="009E737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lastRenderedPageBreak/>
        <w:t>Размер на грантовете:</w:t>
      </w:r>
    </w:p>
    <w:tbl>
      <w:tblPr>
        <w:tblW w:w="9923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90"/>
        <w:gridCol w:w="5007"/>
        <w:gridCol w:w="2126"/>
      </w:tblGrid>
      <w:tr w:rsidR="00EE28F9" w:rsidRPr="00EE28F9" w:rsidTr="00D805F0">
        <w:trPr>
          <w:trHeight w:val="584"/>
        </w:trPr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8F9" w:rsidRPr="00BE2857" w:rsidRDefault="00EE28F9" w:rsidP="00DB5935">
            <w:pPr>
              <w:tabs>
                <w:tab w:val="left" w:pos="2408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kern w:val="24"/>
                <w:sz w:val="24"/>
                <w:szCs w:val="24"/>
                <w:lang w:val="bg-BG"/>
              </w:rPr>
              <w:t>Група 1</w:t>
            </w:r>
          </w:p>
          <w:p w:rsidR="00EE28F9" w:rsidRPr="00BE2857" w:rsidRDefault="00EE28F9" w:rsidP="00DB593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kern w:val="24"/>
                <w:sz w:val="24"/>
                <w:szCs w:val="24"/>
                <w:lang w:val="bg-BG"/>
              </w:rPr>
              <w:t>Държави с висок стандарт на живот</w:t>
            </w:r>
          </w:p>
        </w:tc>
        <w:tc>
          <w:tcPr>
            <w:tcW w:w="50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8F9" w:rsidRPr="00BE2857" w:rsidRDefault="00EE28F9" w:rsidP="00B34ED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4"/>
                <w:szCs w:val="24"/>
                <w:lang w:val="bg-BG"/>
              </w:rPr>
              <w:t>Дания, Ирландия, Франция, Италия, Австрия, Финландия, Швеция, Великобритания, Лихтенщайн, Норвегия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8F9" w:rsidRPr="009E7372" w:rsidRDefault="00EE28F9" w:rsidP="00C10F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632423" w:themeColor="accent2" w:themeShade="80"/>
                <w:kern w:val="24"/>
                <w:sz w:val="24"/>
                <w:szCs w:val="24"/>
                <w:lang w:val="bg-BG"/>
              </w:rPr>
              <w:t>700 евро</w:t>
            </w:r>
          </w:p>
          <w:p w:rsidR="00EE28F9" w:rsidRPr="009E7372" w:rsidRDefault="00EE28F9" w:rsidP="00C10F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632423" w:themeColor="accent2" w:themeShade="80"/>
                <w:kern w:val="24"/>
                <w:sz w:val="24"/>
                <w:szCs w:val="24"/>
                <w:lang w:val="bg-BG"/>
              </w:rPr>
              <w:t>(месечен грант)</w:t>
            </w:r>
          </w:p>
        </w:tc>
      </w:tr>
      <w:tr w:rsidR="00EE28F9" w:rsidRPr="00EE28F9" w:rsidTr="00D805F0">
        <w:trPr>
          <w:trHeight w:val="584"/>
        </w:trPr>
        <w:tc>
          <w:tcPr>
            <w:tcW w:w="2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8F9" w:rsidRPr="009E7372" w:rsidRDefault="00EE28F9" w:rsidP="00C10FEB">
            <w:pPr>
              <w:spacing w:after="0" w:line="360" w:lineRule="auto"/>
              <w:ind w:right="85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kern w:val="24"/>
                <w:sz w:val="24"/>
                <w:szCs w:val="24"/>
                <w:lang w:val="bg-BG"/>
              </w:rPr>
              <w:t>Група 2</w:t>
            </w:r>
          </w:p>
          <w:p w:rsidR="00EE28F9" w:rsidRPr="009E7372" w:rsidRDefault="00EE28F9" w:rsidP="00DB593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kern w:val="24"/>
                <w:sz w:val="24"/>
                <w:szCs w:val="24"/>
                <w:lang w:val="bg-BG"/>
              </w:rPr>
              <w:t>Държави със средно ниво на стандарт на живот</w:t>
            </w:r>
          </w:p>
        </w:tc>
        <w:tc>
          <w:tcPr>
            <w:tcW w:w="50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8F9" w:rsidRPr="009E7372" w:rsidRDefault="00EE28F9" w:rsidP="00C10FE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kern w:val="24"/>
                <w:sz w:val="24"/>
                <w:szCs w:val="24"/>
                <w:lang w:val="bg-BG"/>
              </w:rPr>
              <w:t>Белгия, Чешка република, Германия, Гърция, Испания, Хърватска, Кипър, Люксембург, Холандия, Португалия, Словения, Исландия, Турция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8F9" w:rsidRPr="009E7372" w:rsidRDefault="00EE28F9" w:rsidP="00C10F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632423" w:themeColor="accent2" w:themeShade="80"/>
                <w:kern w:val="24"/>
                <w:sz w:val="24"/>
                <w:szCs w:val="24"/>
                <w:lang w:val="bg-BG"/>
              </w:rPr>
              <w:t xml:space="preserve"> </w:t>
            </w:r>
          </w:p>
          <w:p w:rsidR="00EE28F9" w:rsidRPr="009E7372" w:rsidRDefault="00EE28F9" w:rsidP="00C10F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632423" w:themeColor="accent2" w:themeShade="80"/>
                <w:kern w:val="24"/>
                <w:sz w:val="24"/>
                <w:szCs w:val="24"/>
                <w:lang w:val="bg-BG"/>
              </w:rPr>
              <w:t>700 евро</w:t>
            </w:r>
          </w:p>
          <w:p w:rsidR="00EE28F9" w:rsidRPr="009E7372" w:rsidRDefault="00EE28F9" w:rsidP="00C10F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632423" w:themeColor="accent2" w:themeShade="80"/>
                <w:kern w:val="24"/>
                <w:sz w:val="24"/>
                <w:szCs w:val="24"/>
                <w:lang w:val="bg-BG"/>
              </w:rPr>
              <w:t>(месечен грант)</w:t>
            </w:r>
          </w:p>
        </w:tc>
      </w:tr>
      <w:tr w:rsidR="00EE28F9" w:rsidRPr="00EE28F9" w:rsidTr="00D805F0">
        <w:trPr>
          <w:trHeight w:val="584"/>
        </w:trPr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8F9" w:rsidRPr="009E7372" w:rsidRDefault="00EE28F9" w:rsidP="00C10FEB">
            <w:pPr>
              <w:spacing w:after="0" w:line="360" w:lineRule="auto"/>
              <w:ind w:right="85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kern w:val="24"/>
                <w:sz w:val="24"/>
                <w:szCs w:val="24"/>
                <w:lang w:val="bg-BG"/>
              </w:rPr>
              <w:t>Група 3</w:t>
            </w:r>
          </w:p>
          <w:p w:rsidR="00EE28F9" w:rsidRPr="009E7372" w:rsidRDefault="00EE28F9" w:rsidP="00DB593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kern w:val="24"/>
                <w:sz w:val="24"/>
                <w:szCs w:val="24"/>
                <w:lang w:val="bg-BG"/>
              </w:rPr>
              <w:t>Държави с нисък стандарт на живот</w:t>
            </w:r>
          </w:p>
        </w:tc>
        <w:tc>
          <w:tcPr>
            <w:tcW w:w="5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8F9" w:rsidRPr="009E7372" w:rsidRDefault="00EE28F9" w:rsidP="00B34ED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kern w:val="24"/>
                <w:sz w:val="24"/>
                <w:szCs w:val="24"/>
                <w:lang w:val="bg-BG"/>
              </w:rPr>
              <w:t xml:space="preserve">Естония, Латвия, Литва, Унгария, </w:t>
            </w:r>
            <w:r w:rsidR="00B34EDA" w:rsidRPr="00B34EDA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kern w:val="24"/>
                <w:sz w:val="24"/>
                <w:szCs w:val="24"/>
                <w:lang w:val="bg-BG"/>
              </w:rPr>
              <w:t>Македония</w:t>
            </w:r>
            <w:r w:rsidR="00B34EDA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kern w:val="24"/>
                <w:sz w:val="24"/>
                <w:szCs w:val="24"/>
                <w:lang w:val="bg-BG"/>
              </w:rPr>
              <w:t xml:space="preserve">, </w:t>
            </w:r>
            <w:r w:rsidRPr="009E7372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kern w:val="24"/>
                <w:sz w:val="24"/>
                <w:szCs w:val="24"/>
                <w:lang w:val="bg-BG"/>
              </w:rPr>
              <w:t xml:space="preserve">Малта, Полша, Румъния, </w:t>
            </w:r>
            <w:r w:rsidR="00B34EDA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kern w:val="24"/>
                <w:sz w:val="24"/>
                <w:szCs w:val="24"/>
                <w:lang w:val="bg-BG"/>
              </w:rPr>
              <w:t>Словакия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8F9" w:rsidRPr="009E7372" w:rsidRDefault="00EE28F9" w:rsidP="00C10F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632423" w:themeColor="accent2" w:themeShade="80"/>
                <w:kern w:val="24"/>
                <w:sz w:val="24"/>
                <w:szCs w:val="24"/>
                <w:lang w:val="bg-BG"/>
              </w:rPr>
              <w:t>650 евро</w:t>
            </w:r>
          </w:p>
          <w:p w:rsidR="00EE28F9" w:rsidRPr="009E7372" w:rsidRDefault="00EE28F9" w:rsidP="00C10F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372">
              <w:rPr>
                <w:rFonts w:ascii="Times New Roman" w:eastAsia="Times New Roman" w:hAnsi="Times New Roman"/>
                <w:b/>
                <w:bCs/>
                <w:color w:val="632423" w:themeColor="accent2" w:themeShade="80"/>
                <w:kern w:val="24"/>
                <w:sz w:val="24"/>
                <w:szCs w:val="24"/>
                <w:lang w:val="bg-BG"/>
              </w:rPr>
              <w:t>(месечен грант)</w:t>
            </w:r>
          </w:p>
        </w:tc>
      </w:tr>
    </w:tbl>
    <w:p w:rsidR="00946AB2" w:rsidRDefault="00946AB2" w:rsidP="00C10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</w:p>
    <w:p w:rsidR="00C10FEB" w:rsidRDefault="00DB47ED" w:rsidP="00C10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Приемащ</w:t>
      </w:r>
      <w:r w:rsidR="001E29E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ата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институци</w:t>
      </w:r>
      <w:r w:rsidR="001E29E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я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E285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мо</w:t>
      </w:r>
      <w:r w:rsidR="001E29E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же </w:t>
      </w:r>
      <w:r w:rsidRPr="00BE285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да предл</w:t>
      </w:r>
      <w:r w:rsidRPr="009E737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ож</w:t>
      </w:r>
      <w:r w:rsidR="001E29E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допълнително </w:t>
      </w:r>
      <w:r w:rsidRPr="00BE28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bg-BG"/>
        </w:rPr>
        <w:t>възнаграждение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извън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гранта по програма Еразъм+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както и настаняване на кандидат</w:t>
      </w:r>
      <w:r w:rsidR="001E29E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а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 без това да е задължително.</w:t>
      </w:r>
    </w:p>
    <w:p w:rsidR="00946AB2" w:rsidRDefault="00DB47ED" w:rsidP="00C10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Студентът/докторантът има право да получава финансиране и от други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източници, различни от Европейските фондове</w:t>
      </w:r>
      <w:r w:rsidR="00946AB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. </w:t>
      </w:r>
    </w:p>
    <w:p w:rsidR="00946AB2" w:rsidRDefault="00946AB2" w:rsidP="00C10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946AB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За периода на провеждане на практиката студентът/докторантът има право да кандидатств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а и да получава стипендия от СУ, при условията за допустимост, съгласно действащите разпоредби.</w:t>
      </w:r>
    </w:p>
    <w:p w:rsidR="00946AB2" w:rsidRDefault="00946AB2" w:rsidP="00C10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За периода на практиката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студентът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/докторантът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5D2F3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е длъжен да заплати такстата за обучение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СУ „Св. Климент Охридски“.</w:t>
      </w:r>
    </w:p>
    <w:p w:rsidR="00C10FEB" w:rsidRDefault="00C10FEB" w:rsidP="00C10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</w:p>
    <w:p w:rsidR="00A47644" w:rsidRPr="009148C8" w:rsidRDefault="00931488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>3</w:t>
      </w:r>
      <w:r w:rsidR="001C4681" w:rsidRPr="00BE28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. </w:t>
      </w:r>
      <w:r w:rsidR="001C46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>К</w:t>
      </w:r>
      <w:r w:rsidR="00A47644" w:rsidRPr="00BE28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>онкурс</w:t>
      </w:r>
      <w:r w:rsidR="009148C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 </w:t>
      </w:r>
    </w:p>
    <w:p w:rsidR="009F7D9F" w:rsidRDefault="00931488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За мобилности с цел практика, които ще се проведат в периода </w:t>
      </w:r>
      <w:r w:rsidR="009148C8" w:rsidRPr="008223B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1</w:t>
      </w:r>
      <w:r w:rsidRPr="008223B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CF554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деке</w:t>
      </w:r>
      <w:r w:rsidR="00A840C9" w:rsidRPr="008223B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мври 201</w:t>
      </w:r>
      <w:r w:rsidR="009D251F" w:rsidRPr="008223B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6</w:t>
      </w:r>
      <w:r w:rsidRPr="008223B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г. – 30 септември 201</w:t>
      </w:r>
      <w:r w:rsidR="009D251F" w:rsidRPr="008223B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7</w:t>
      </w:r>
      <w:r w:rsidRPr="008223B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г.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 СУ „</w:t>
      </w:r>
      <w:r w:rsidR="00632CA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Св. Кл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имент Охридски“ организира </w:t>
      </w:r>
      <w:r w:rsidRPr="004C7EA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централизиран конкурс</w:t>
      </w:r>
      <w:r w:rsidR="009F7D9F" w:rsidRPr="004C7EA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за селекция на кандидатите</w:t>
      </w:r>
      <w:r w:rsidRPr="004C7EA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1789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Всички заинтересовани студенти/докторанти </w:t>
      </w:r>
      <w:r w:rsidR="009E7372" w:rsidRPr="0001789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подават </w:t>
      </w:r>
      <w:r w:rsidRPr="0001789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необходимите документи в отдел „Международна дейност и протокол“</w:t>
      </w:r>
      <w:r w:rsidR="002A3F62" w:rsidRPr="0001789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2A3F6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01789E" w:rsidRPr="0001789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Ректорат, стая 5 и 19, </w:t>
      </w:r>
      <w:r w:rsidRPr="00C10FE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в срок до </w:t>
      </w:r>
      <w:r w:rsidR="0001789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1</w:t>
      </w:r>
      <w:r w:rsidR="009D251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7</w:t>
      </w:r>
      <w:r w:rsidR="0001789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5971A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октомври</w:t>
      </w:r>
      <w:r w:rsidR="0001789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C10FE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201</w:t>
      </w:r>
      <w:r w:rsidR="009D251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6</w:t>
      </w:r>
      <w:r w:rsidRPr="0093148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г.</w:t>
      </w:r>
      <w:r w:rsidR="0001789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, 17:00 часа.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След изтичане на крайния срок</w:t>
      </w:r>
      <w:r w:rsidR="009F7D9F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ще бъдат сформирани комисии за </w:t>
      </w:r>
      <w:r w:rsidR="009F7D9F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lastRenderedPageBreak/>
        <w:t>селекция на кандидатите, с участие на Факултетните координатори по програма Еразъм+, в зависимост от това от кои факултети са постъпили кандидатури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 представители на отдел „Международна дейност и протокол“</w:t>
      </w:r>
      <w:r w:rsidR="009148C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и на Студен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тски</w:t>
      </w:r>
      <w:r w:rsidR="009148C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съвет</w:t>
      </w:r>
      <w:r w:rsidR="009F7D9F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 Селекцията ще бъде извършена по документи.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6872E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При подаване на непълен комплект от документи, кан</w:t>
      </w:r>
      <w:r w:rsidR="009D251F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дидатурата </w:t>
      </w:r>
      <w:r w:rsidR="006872E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няма да бъде разгледана. В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случай, че кандидатите, които отговарят на всички условия за селекция</w:t>
      </w:r>
      <w:r w:rsidR="004D515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са повече от общия брой договорени мобилности</w:t>
      </w:r>
      <w:r w:rsidR="009D251F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: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6872E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1) </w:t>
      </w:r>
      <w:r w:rsidR="004D515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приоритетно 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ще бъдат предложени за финансиране кандидати</w:t>
      </w:r>
      <w:r w:rsidR="0001789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</w:t>
      </w:r>
      <w:r w:rsidR="004D515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9E7372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които никога не са участвали в мобилност с цел обучение или с цел практика по програма Еразъм</w:t>
      </w:r>
      <w:r w:rsidR="0001789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или Еразъм+</w:t>
      </w:r>
      <w:r w:rsidR="00F75903" w:rsidRPr="009072C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</w:t>
      </w:r>
      <w:r w:rsidR="006872E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2) кандидатите ще бъдат класирани по успех.</w:t>
      </w:r>
    </w:p>
    <w:p w:rsidR="00235D26" w:rsidRDefault="00235D26" w:rsidP="00C10FE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</w:pPr>
    </w:p>
    <w:p w:rsidR="001C4681" w:rsidRDefault="0018710C" w:rsidP="00C10FE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4. Документи за кандидатстване:</w:t>
      </w:r>
    </w:p>
    <w:p w:rsidR="0018710C" w:rsidRPr="000A06AC" w:rsidRDefault="0018710C" w:rsidP="00C10FE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1. </w:t>
      </w:r>
      <w:r w:rsidR="00917B92" w:rsidRPr="00917B9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Заявление – </w:t>
      </w:r>
      <w:r w:rsidR="009D251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по </w:t>
      </w:r>
      <w:r w:rsidR="00917B92" w:rsidRPr="00917B9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Образец 1</w:t>
      </w:r>
      <w:r w:rsidR="00917B92" w:rsidRPr="000A06A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, оригинал</w:t>
      </w:r>
    </w:p>
    <w:p w:rsidR="004D5152" w:rsidRPr="000A06AC" w:rsidRDefault="004D5152" w:rsidP="00C10FE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</w:pPr>
      <w:r w:rsidRPr="000A06A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В приложения образец се попълват всички полета и се пол</w:t>
      </w:r>
      <w:r w:rsidR="00481A8D" w:rsidRPr="000A06A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 xml:space="preserve">агат </w:t>
      </w:r>
      <w:r w:rsidRPr="000A06A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 xml:space="preserve">необходимите подписи и печати.  </w:t>
      </w:r>
      <w:r w:rsidR="001D28BF" w:rsidRPr="000A06A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Кандидатът носи отговорност за достоверността на предоставената информация</w:t>
      </w:r>
      <w:r w:rsidR="009D251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 xml:space="preserve"> и полагането на изискуемите подписи</w:t>
      </w:r>
      <w:r w:rsidR="001D28BF" w:rsidRPr="000A06A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.</w:t>
      </w:r>
    </w:p>
    <w:p w:rsidR="00917B92" w:rsidRPr="00BE2857" w:rsidRDefault="0018710C" w:rsidP="00C10FE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2. </w:t>
      </w:r>
      <w:r w:rsidR="00917B92" w:rsidRPr="00BE285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Автобиография </w:t>
      </w:r>
      <w:r w:rsidR="00917B92" w:rsidRPr="00BE2857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(формат по преценка на кандидата, на български или английски език)</w:t>
      </w:r>
    </w:p>
    <w:p w:rsidR="0018710C" w:rsidRPr="00E76AB0" w:rsidRDefault="0018710C" w:rsidP="00C10FEB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3. Писмо-покана от работодателя – </w:t>
      </w:r>
      <w:r w:rsidR="009D251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по </w:t>
      </w:r>
      <w:r w:rsidRPr="0018710C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Образец 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Pr="000A06A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оригинал или сканирано копие</w:t>
      </w:r>
      <w:r w:rsidR="00464699" w:rsidRPr="000A06A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, с подпис и печат</w:t>
      </w:r>
      <w:r w:rsidR="00E76AB0" w:rsidRPr="00BE2857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 xml:space="preserve">. </w:t>
      </w:r>
      <w:r w:rsidR="009D251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 xml:space="preserve">В поканата трябва да бъдат попълнение всичи полета. </w:t>
      </w:r>
      <w:r w:rsidR="00E76AB0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 xml:space="preserve">Представя се </w:t>
      </w:r>
      <w:r w:rsidR="003D1BD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само една покана и само от един работодател</w:t>
      </w:r>
      <w:r w:rsidR="000E6B5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 xml:space="preserve"> в 2 екземпляра </w:t>
      </w:r>
      <w:r w:rsidR="003D1BD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.</w:t>
      </w:r>
    </w:p>
    <w:p w:rsidR="001F44A2" w:rsidRPr="00FE3B41" w:rsidRDefault="0018710C" w:rsidP="00C10FEB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4. </w:t>
      </w:r>
      <w:r w:rsidR="001F44A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Документ за удостоверяване на успеха</w:t>
      </w:r>
      <w:r w:rsidR="00FE3B4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FE3B41" w:rsidRPr="00F7590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(до момента на кандидатстване за Еразъм</w:t>
      </w:r>
      <w:r w:rsidR="003871B1" w:rsidRPr="00F7590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+</w:t>
      </w:r>
      <w:r w:rsidR="00FE3B41" w:rsidRPr="00F7590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 xml:space="preserve"> практики</w:t>
      </w:r>
      <w:r w:rsidR="00235D26" w:rsidRPr="00F7590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 xml:space="preserve"> по настоящата покана</w:t>
      </w:r>
      <w:r w:rsidR="00FE3B41" w:rsidRPr="00F7590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)</w:t>
      </w:r>
      <w:r w:rsidR="001F44A2" w:rsidRPr="00FE3B4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:</w:t>
      </w:r>
    </w:p>
    <w:p w:rsidR="001F44A2" w:rsidRPr="00235D26" w:rsidRDefault="006C49CB" w:rsidP="00235D2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</w:pPr>
      <w:r w:rsidRPr="00235D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з</w:t>
      </w:r>
      <w:r w:rsidR="001F44A2" w:rsidRPr="00235D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а студенти: уверение за успех с посочен среден успех от всички изпити</w:t>
      </w:r>
      <w:r w:rsidR="009D251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до момента на кандидатстването</w:t>
      </w:r>
      <w:r w:rsidR="001F44A2" w:rsidRPr="00235D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="001F44A2" w:rsidRPr="00F7590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оригинал</w:t>
      </w:r>
    </w:p>
    <w:p w:rsidR="00CE6559" w:rsidRPr="00235D26" w:rsidRDefault="001F44A2" w:rsidP="00235D2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</w:pPr>
      <w:r w:rsidRPr="00235D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за новозаписани магистри – документ, удостоверяващ средния успех от приемните изпити</w:t>
      </w:r>
      <w:r w:rsidR="00202FCD" w:rsidRPr="00235D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за съответната Магистърска програма</w:t>
      </w:r>
      <w:r w:rsidRPr="00235D2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 xml:space="preserve">, </w:t>
      </w:r>
      <w:r w:rsidRPr="00F7590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оригинал</w:t>
      </w:r>
    </w:p>
    <w:p w:rsidR="00D269EC" w:rsidRPr="00F75903" w:rsidRDefault="001F44A2" w:rsidP="00235D2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</w:pPr>
      <w:r w:rsidRPr="00235D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за докторанти – документ, удостоверяващ средния успех от </w:t>
      </w:r>
      <w:r w:rsidR="002A3F62" w:rsidRPr="00235D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приемните изпити</w:t>
      </w:r>
      <w:r w:rsidR="00FE3B41" w:rsidRPr="00235D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="00FE3B41" w:rsidRPr="00F7590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оригинал или копие</w:t>
      </w:r>
    </w:p>
    <w:p w:rsidR="001F44A2" w:rsidRPr="00202FCD" w:rsidRDefault="00D269EC" w:rsidP="000A06AC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5. Заповед</w:t>
      </w:r>
      <w:r w:rsidR="00AD46A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/и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за зачисляване на докторанта</w:t>
      </w:r>
      <w:r w:rsidR="00AD46A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и за удължаване на срока </w:t>
      </w:r>
      <w:r w:rsidR="00AD46A9" w:rsidRPr="00F7590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(в случай, че има такова)</w:t>
      </w:r>
      <w:r w:rsidRPr="00AD46A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с посочена тема на дисертацията и научен ръководител, </w:t>
      </w:r>
      <w:r w:rsidRPr="00F7590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копие</w:t>
      </w:r>
      <w:r w:rsidR="00AD46A9" w:rsidRPr="00F7590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/я</w:t>
      </w:r>
    </w:p>
    <w:p w:rsidR="00962269" w:rsidRPr="000A06AC" w:rsidRDefault="00D269EC" w:rsidP="000A06AC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lastRenderedPageBreak/>
        <w:t>6</w:t>
      </w:r>
      <w:r w:rsidR="0046469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Д</w:t>
      </w:r>
      <w:r w:rsidR="00CE655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окументи, удостоверяващи езиковата компетентност, съгласно изискванията на работодателя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- </w:t>
      </w:r>
      <w:r w:rsidRPr="00F7590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копия</w:t>
      </w:r>
      <w:r w:rsidR="00962269" w:rsidRPr="00294D5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.</w:t>
      </w:r>
      <w:r w:rsidR="0096226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962269" w:rsidRPr="000A06A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В случай, че в Поканата работодателят не е посочил изрично изискване за документ, удостоверяващ езиковата компетентност, комисията ще приеме всякакъв документ, от който става ясно нивото на владеене на чуждия/те езици. </w:t>
      </w:r>
    </w:p>
    <w:p w:rsidR="00B16F9D" w:rsidRPr="000A06AC" w:rsidRDefault="00B16F9D" w:rsidP="00BB322D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</w:pPr>
    </w:p>
    <w:p w:rsidR="00CE6559" w:rsidRPr="00BB322D" w:rsidRDefault="00DD2569" w:rsidP="00DD2569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Всички д</w:t>
      </w:r>
      <w:r w:rsidR="00066FF9" w:rsidRPr="00BB322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окументи трябва да бъдат подредени в папка и в ред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а</w:t>
      </w:r>
      <w:r w:rsidR="00066FF9" w:rsidRPr="00BB322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,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 xml:space="preserve"> посочен по-горе, като на всяко З</w:t>
      </w:r>
      <w:r w:rsidR="00066FF9" w:rsidRPr="00BB322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аявление ще бъде поставен входящ номер.</w:t>
      </w:r>
    </w:p>
    <w:p w:rsidR="00394F20" w:rsidRDefault="00DD2569" w:rsidP="00CE6559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 xml:space="preserve">Комисията </w:t>
      </w:r>
      <w:r w:rsidR="00394F2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няма да одобр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и</w:t>
      </w:r>
      <w:r w:rsidR="00394F2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 xml:space="preserve"> и предложи за финансиране кандидати, които са посоч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и</w:t>
      </w:r>
      <w:r w:rsidR="00394F2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 xml:space="preserve">ли невярна информация, при липса на документ и/или информация, както и 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документи, които не са изготвени по п</w:t>
      </w:r>
      <w:r w:rsidR="0077683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>риложените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bg-BG"/>
        </w:rPr>
        <w:t xml:space="preserve"> образци.</w:t>
      </w:r>
    </w:p>
    <w:p w:rsidR="00D269EC" w:rsidRDefault="00D269EC" w:rsidP="00D269EC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</w:pPr>
      <w:r w:rsidRPr="00D269EC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Документи </w:t>
      </w:r>
      <w:r w:rsidR="0077683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се подават в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 о</w:t>
      </w:r>
      <w:r w:rsidRPr="00D269EC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тдел „Международна дейн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ост</w:t>
      </w:r>
      <w:r w:rsidRPr="00D269EC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 и протокол“, Ректорат, </w:t>
      </w:r>
    </w:p>
    <w:p w:rsidR="00776830" w:rsidRDefault="00D269EC" w:rsidP="00D269EC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</w:pPr>
      <w:r w:rsidRPr="00D269EC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ста</w:t>
      </w:r>
      <w:r w:rsidR="00862CE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и</w:t>
      </w:r>
      <w:r w:rsidRPr="00D269EC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 </w:t>
      </w:r>
      <w:r w:rsidR="00862CE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5 и </w:t>
      </w:r>
      <w:r w:rsidRPr="00D269EC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19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, </w:t>
      </w:r>
      <w:r w:rsidR="0077683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в срок до </w:t>
      </w:r>
      <w:r w:rsidR="00862CE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1</w:t>
      </w:r>
      <w:r w:rsidR="00631149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7</w:t>
      </w:r>
      <w:r w:rsidR="00862CE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 </w:t>
      </w:r>
      <w:r w:rsidR="005971AE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октомври</w:t>
      </w:r>
      <w:r w:rsidR="00862CE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 201</w:t>
      </w:r>
      <w:r w:rsidR="00631149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6</w:t>
      </w:r>
      <w:r w:rsidR="0077683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 xml:space="preserve"> г., </w:t>
      </w:r>
    </w:p>
    <w:p w:rsidR="00D269EC" w:rsidRDefault="00D269EC" w:rsidP="00D269EC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</w:pPr>
      <w:r w:rsidRPr="00D269EC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всеки работен ден от 09:00 – 12:00 и от 1</w:t>
      </w:r>
      <w:r w:rsidR="00862CE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4:0</w:t>
      </w:r>
      <w:r w:rsidRPr="00D269EC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  <w:t>0 – 17:00 часа.</w:t>
      </w:r>
    </w:p>
    <w:p w:rsidR="00D269EC" w:rsidRDefault="00D269EC" w:rsidP="00D269EC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bg-BG"/>
        </w:rPr>
      </w:pPr>
    </w:p>
    <w:p w:rsidR="001C4681" w:rsidRDefault="001C4681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Селекцията на кандидатите ще се извърши на </w:t>
      </w:r>
      <w:r w:rsidR="0018710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два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етапа:</w:t>
      </w:r>
    </w:p>
    <w:p w:rsidR="001C4681" w:rsidRDefault="001C4681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C10FE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bg-BG"/>
        </w:rPr>
        <w:t>Етап 1: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Административна проверка на подадените </w:t>
      </w:r>
      <w:r w:rsidR="00C10FE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документи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по отношение на </w:t>
      </w:r>
      <w:r w:rsidR="0018710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тяхната изчерпателност</w:t>
      </w:r>
      <w:r w:rsidR="00C9345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 достоверност на вписаните данни и информация</w:t>
      </w:r>
      <w:r w:rsidR="0018710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 допустимост на кандидатите и работодателите</w:t>
      </w:r>
      <w:r w:rsidR="00C9345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 съгласно изискванията, посочени в настоящите Условия за кандидатстване</w:t>
      </w:r>
      <w:r w:rsidR="0018710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 w:rsidR="008D52B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ще бъде извършено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от </w:t>
      </w:r>
      <w:r w:rsidR="008D52B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отдел „Международна дейност и протокол“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в СУ</w:t>
      </w:r>
      <w:r w:rsidR="0018710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8D52B3" w:rsidRDefault="001C4681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18710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bg-BG"/>
        </w:rPr>
        <w:t>Етап 2: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D52B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Разглеждане и одобряване на кандидатурите, </w:t>
      </w:r>
      <w:r w:rsidR="0074183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преминали </w:t>
      </w:r>
      <w:r w:rsidR="008D52B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етап 1 – извършва се от Комисията по селекция.</w:t>
      </w:r>
    </w:p>
    <w:p w:rsidR="00B83998" w:rsidRDefault="008D52B3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bg-BG"/>
        </w:rPr>
        <w:t>Етап 3</w:t>
      </w:r>
      <w:r w:rsidRPr="008D52B3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bg-BG"/>
        </w:rPr>
        <w:t>:</w:t>
      </w:r>
      <w:r w:rsidRPr="008D52B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A6091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Окончателно к</w:t>
      </w:r>
      <w:r w:rsidR="001C468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ласиране на кандидатите: класирането </w:t>
      </w:r>
      <w:r w:rsidR="00B83998" w:rsidRPr="00B8399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ще бъде извършено от отдел „Международна дейн</w:t>
      </w:r>
      <w:r w:rsidR="00B8399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ост и протокол“ в СУ, като: </w:t>
      </w:r>
    </w:p>
    <w:p w:rsidR="00B83998" w:rsidRDefault="008D52B3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8D52B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1) приоритетно ще бъдат предложени за финансиране кандидати, които никога не са участвали в мобилност с цел обучение или с цел практика </w:t>
      </w:r>
      <w:r w:rsidR="00B8399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по програма Еразъм или Еразъм+</w:t>
      </w:r>
    </w:p>
    <w:p w:rsidR="00B83998" w:rsidRDefault="008D52B3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8D52B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2) </w:t>
      </w:r>
      <w:r w:rsidR="00235D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класиране по успех</w:t>
      </w:r>
      <w:r w:rsidRPr="008D52B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B83998" w:rsidRDefault="00B83998" w:rsidP="00C10FE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</w:pPr>
    </w:p>
    <w:p w:rsidR="00B83998" w:rsidRPr="00776830" w:rsidRDefault="0018710C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18710C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lastRenderedPageBreak/>
        <w:t>Важно: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1C468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В случай, че броят на </w:t>
      </w:r>
      <w:r w:rsidR="00A178B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одобрените кандидати </w:t>
      </w:r>
      <w:r w:rsidR="001C468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превишава броя на местата, договорени между СУ „Св. Климент Охридски“ и АПАО, крайната селекция ще бъде извършена от</w:t>
      </w:r>
      <w:r w:rsidR="00BB322D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АПАО, в зависимост от </w:t>
      </w:r>
      <w:r w:rsidR="00235D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отпуснатия </w:t>
      </w:r>
      <w:r w:rsidR="00BB322D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бюджет </w:t>
      </w:r>
      <w:r w:rsidR="001C468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за финансиране на мобилности с цел практика за 201</w:t>
      </w:r>
      <w:r w:rsidR="00A6091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6</w:t>
      </w:r>
      <w:r w:rsidR="00B8399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/201</w:t>
      </w:r>
      <w:r w:rsidR="00A6091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7</w:t>
      </w:r>
      <w:r w:rsidR="001C468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г.</w:t>
      </w:r>
    </w:p>
    <w:p w:rsidR="000F7614" w:rsidRDefault="000F7614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77683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След приключване на конкурса, комисията по селекция ще изготви протокол с имената на одобрените кандидати, който ще бъде предоставен на АПАО.</w:t>
      </w:r>
    </w:p>
    <w:p w:rsidR="00235D26" w:rsidRPr="00776830" w:rsidRDefault="00235D26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</w:p>
    <w:p w:rsidR="005B4712" w:rsidRDefault="000F7614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5878D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Списък</w:t>
      </w:r>
      <w:r w:rsidR="005B4712" w:rsidRPr="005878D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ът</w:t>
      </w:r>
      <w:r w:rsidRPr="005878D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с одобрените кандидати, резервите и неодобрените кандидати,</w:t>
      </w:r>
      <w:r w:rsidRPr="0077683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ще бъде публикуван на уеб-сайта на СУ „Св. Климент Охридски“</w:t>
      </w:r>
      <w:r w:rsidR="00AD46A9" w:rsidRPr="0077683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- </w:t>
      </w:r>
      <w:r w:rsidRPr="0077683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Международна дейност</w:t>
      </w:r>
      <w:r w:rsidR="00AD46A9" w:rsidRPr="0077683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- </w:t>
      </w:r>
      <w:r w:rsidR="005B4712" w:rsidRPr="0077683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програма Еразъм</w:t>
      </w:r>
      <w:r w:rsidR="00AD46A9" w:rsidRPr="0077683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+ - </w:t>
      </w:r>
      <w:r w:rsidR="005B4712" w:rsidRPr="0077683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Практики</w:t>
      </w:r>
      <w:r w:rsidR="00AD46A9" w:rsidRPr="0077683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5878D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–</w:t>
      </w:r>
      <w:r w:rsidR="00AD46A9" w:rsidRPr="0077683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Резултати</w:t>
      </w:r>
      <w:r w:rsidR="005878D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5878DE" w:rsidRPr="005878D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на </w:t>
      </w:r>
      <w:r w:rsidR="00166A8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31</w:t>
      </w:r>
      <w:r w:rsidR="005878DE" w:rsidRPr="005878D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166A8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октомври </w:t>
      </w:r>
      <w:r w:rsidR="005878DE" w:rsidRPr="005878D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201</w:t>
      </w:r>
      <w:r w:rsidR="00A6091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6</w:t>
      </w:r>
      <w:r w:rsidR="005878DE" w:rsidRPr="005878D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г.</w:t>
      </w:r>
      <w:r w:rsidR="005878D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F7590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до 17.00 часа. </w:t>
      </w:r>
      <w:r w:rsidR="005B4712" w:rsidRPr="0077683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В списъка ще бъд</w:t>
      </w:r>
      <w:r w:rsidR="00FC27F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ат вписани входящите номера на З</w:t>
      </w:r>
      <w:r w:rsidR="005B4712" w:rsidRPr="0077683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аявленията</w:t>
      </w:r>
      <w:r w:rsidR="00A6091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за кандидатстване</w:t>
      </w:r>
      <w:r w:rsidR="005B4712" w:rsidRPr="00776830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 без да се посочват имената на кандидатите.</w:t>
      </w:r>
    </w:p>
    <w:p w:rsidR="00BB322D" w:rsidRDefault="00BB322D" w:rsidP="00C10FE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</w:pPr>
    </w:p>
    <w:p w:rsidR="001B3C16" w:rsidRDefault="00B257B1" w:rsidP="00C10FE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Информация за кандидати, които са одобрени за мобилност с цел практика</w:t>
      </w:r>
    </w:p>
    <w:p w:rsidR="00632CA1" w:rsidRDefault="001B3C16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Грантовете на одобрените студенти/докторанти ще бъдат отпускани от АПАО, след сключване на финансово споразумение. </w:t>
      </w:r>
      <w:r w:rsidR="005878D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След като бъдат одобрени от СУ, к</w:t>
      </w:r>
      <w:r w:rsidR="006F07A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андидатите следва да с</w:t>
      </w:r>
      <w:r w:rsidR="00632CA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е</w:t>
      </w:r>
      <w:r w:rsidR="006F07A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5878D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свържат с експертите от АПАО и да се </w:t>
      </w:r>
      <w:r w:rsidR="00632CA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</w:t>
      </w:r>
      <w:r w:rsidR="006F07A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н</w:t>
      </w:r>
      <w:r w:rsidR="00632CA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формират относно процедурата, свързана с</w:t>
      </w:r>
      <w:r w:rsidR="005878D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предоставяне на допълнителни документи, </w:t>
      </w:r>
      <w:r w:rsidR="00632CA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сключване на финансовото споразумение, провеждане на практиката и отчитане на мобилността.</w:t>
      </w:r>
    </w:p>
    <w:p w:rsidR="00235D26" w:rsidRDefault="00235D26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</w:p>
    <w:p w:rsidR="0018710C" w:rsidRDefault="00632CA1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235D2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Learning</w:t>
      </w:r>
      <w:r w:rsidRPr="00235D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 xml:space="preserve"> </w:t>
      </w:r>
      <w:r w:rsidRPr="00235D2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Agreement</w:t>
      </w:r>
      <w:r w:rsidRPr="00235D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 xml:space="preserve"> </w:t>
      </w:r>
      <w:r w:rsidRPr="00235D2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for</w:t>
      </w:r>
      <w:r w:rsidRPr="00235D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 xml:space="preserve"> </w:t>
      </w:r>
      <w:r w:rsidRPr="00235D2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Traineeship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се подписва от </w:t>
      </w:r>
      <w:r w:rsidR="00946EB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одобрения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студент/докторант, работодателя и факултетния</w:t>
      </w:r>
      <w:r w:rsidR="00F7590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и/или </w:t>
      </w:r>
      <w:r w:rsidR="00FC27F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катедрения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коорд</w:t>
      </w:r>
      <w:r w:rsidR="00934CA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инатор</w:t>
      </w:r>
      <w:r w:rsidR="00946EB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от СУ</w:t>
      </w:r>
      <w:r w:rsidR="00C61D5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</w:t>
      </w:r>
      <w:r w:rsidR="0018710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преди началото на </w:t>
      </w:r>
      <w:r w:rsidR="0018710C" w:rsidRPr="00066074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мобилността</w:t>
      </w:r>
      <w:r w:rsidR="00934CA6" w:rsidRPr="00B257B1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/>
        </w:rPr>
        <w:t>.</w:t>
      </w:r>
      <w:r w:rsidR="00934CA6" w:rsidRPr="00066074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235D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В отдел „Международна дейност и протокол“ се по</w:t>
      </w:r>
      <w:r w:rsidR="00554A9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ставя</w:t>
      </w:r>
      <w:r w:rsidR="00235D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печат на програма Еразъм+, в случай, че това е необходимо</w:t>
      </w:r>
      <w:r w:rsidR="00FC27F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и само ако документът е </w:t>
      </w:r>
      <w:r w:rsidR="00554A9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надлежно </w:t>
      </w:r>
      <w:r w:rsidR="00FC27F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попълнен </w:t>
      </w:r>
      <w:r w:rsidR="00554A9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</w:t>
      </w:r>
      <w:r w:rsidR="00FC27F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са положени подписите на ст</w:t>
      </w:r>
      <w:r w:rsidR="00F75903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удента/докторанта и факултетния и/или </w:t>
      </w:r>
      <w:r w:rsidR="00FC27FC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катедрения координатор</w:t>
      </w:r>
      <w:r w:rsidR="00235D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B257B1" w:rsidRPr="00554A9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Този документ </w:t>
      </w:r>
      <w:r w:rsidR="00014110" w:rsidRPr="00554A9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ще бъде предоставен на одобрените кандидати от АПАО и </w:t>
      </w:r>
      <w:r w:rsidR="00B257B1" w:rsidRPr="00B257B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не се подава към момента на кандидатстване</w:t>
      </w:r>
      <w:r w:rsidR="0001411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в СУ</w:t>
      </w:r>
      <w:r w:rsidR="00B257B1" w:rsidRPr="00B257B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B257B1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9B597B" w:rsidRDefault="009B597B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</w:p>
    <w:p w:rsidR="00A47644" w:rsidRPr="00FD1A75" w:rsidRDefault="00765184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>Н</w:t>
      </w:r>
      <w:r w:rsidR="00FD1A75" w:rsidRPr="0023735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>астаняване</w:t>
      </w:r>
    </w:p>
    <w:p w:rsidR="00A47644" w:rsidRDefault="00A47644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lastRenderedPageBreak/>
        <w:t>Ако приемащ</w:t>
      </w:r>
      <w:r w:rsidR="003435B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ата страна не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предлага настаняване, </w:t>
      </w:r>
      <w:r w:rsidR="00765184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одобрените кандидати трябва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своевременно да потърсят начини на настаняване.</w:t>
      </w:r>
    </w:p>
    <w:p w:rsidR="00464699" w:rsidRPr="00464699" w:rsidRDefault="00464699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</w:p>
    <w:p w:rsidR="00A47644" w:rsidRPr="00FD1A75" w:rsidRDefault="00A47644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23735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>При</w:t>
      </w:r>
      <w:r w:rsidR="00FD1A75" w:rsidRPr="0023735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/>
        </w:rPr>
        <w:t>знаване на проведената практика</w:t>
      </w:r>
    </w:p>
    <w:p w:rsidR="00DB47ED" w:rsidRDefault="00DB47ED" w:rsidP="00C10F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Еразъм </w:t>
      </w:r>
      <w:r w:rsidR="009B597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практиките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могат да бъдат два вида: </w:t>
      </w:r>
      <w:r w:rsidR="009B597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практики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като част от обуч</w:t>
      </w:r>
      <w:r w:rsidR="009B597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ителната програма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="009B597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практики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по желание</w:t>
      </w:r>
      <w:r w:rsidR="009B597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. Практиките, които са </w:t>
      </w:r>
      <w:r w:rsidR="00AD287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част от учебния план</w:t>
      </w:r>
      <w:r w:rsidR="00AD2877" w:rsidRPr="00BE2857">
        <w:rPr>
          <w:lang w:val="bg-BG"/>
        </w:rPr>
        <w:t xml:space="preserve"> </w:t>
      </w:r>
      <w:r w:rsidR="00AD2877" w:rsidRPr="00AD287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на студента/докторанта</w:t>
      </w:r>
      <w:r w:rsidR="00AD287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могат да бъдат признати от СУ</w:t>
      </w:r>
      <w:r w:rsidR="00AD287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Относно </w:t>
      </w:r>
      <w:r w:rsidR="009B597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възможността за признаване на проведените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практики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, кандидатите </w:t>
      </w:r>
      <w:r w:rsidR="00B5276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следва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да се обърнат към съответните </w:t>
      </w:r>
      <w:r w:rsidR="00E66C5A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факултети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9B597B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Практиките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по желание </w:t>
      </w:r>
      <w:r w:rsidR="00E66C5A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на кандидата</w:t>
      </w:r>
      <w:r w:rsidR="00642A1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, които </w:t>
      </w:r>
      <w:r w:rsidR="00E66C5A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не са част от 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учебн</w:t>
      </w:r>
      <w:r w:rsidR="00AD287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ия план</w:t>
      </w:r>
      <w:r w:rsidR="00E66C5A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не се признават от СУ, </w:t>
      </w:r>
      <w:r w:rsidR="00E66C5A"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но </w:t>
      </w:r>
      <w:r w:rsidR="004333CD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могат да бъдат вписани </w:t>
      </w:r>
      <w:r w:rsidR="00E66C5A"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в </w:t>
      </w:r>
      <w:r w:rsidR="00E66C5A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Е</w:t>
      </w:r>
      <w:r w:rsidRPr="00BE2857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вропейското дипломно приложение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A715E" w:rsidRPr="009072C5" w:rsidTr="003435BB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DA715E" w:rsidRPr="00BE2857" w:rsidRDefault="00DA715E" w:rsidP="00C10F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:rsidR="00DA715E" w:rsidRPr="00642A1E" w:rsidRDefault="00642A1E" w:rsidP="00946EB1">
      <w:pPr>
        <w:shd w:val="clear" w:color="auto" w:fill="FFFFFF"/>
        <w:spacing w:after="0" w:line="360" w:lineRule="auto"/>
        <w:ind w:firstLine="30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  <w:r w:rsidRPr="00642A1E"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  <w:t>За контакти:</w:t>
      </w:r>
    </w:p>
    <w:p w:rsidR="0018710C" w:rsidRDefault="00813870" w:rsidP="00946EB1">
      <w:pPr>
        <w:shd w:val="clear" w:color="auto" w:fill="FFFFFF"/>
        <w:spacing w:after="0" w:line="360" w:lineRule="auto"/>
        <w:ind w:firstLine="300"/>
        <w:jc w:val="right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Отдел „Международна дейност и протокол“</w:t>
      </w:r>
    </w:p>
    <w:p w:rsidR="00813870" w:rsidRDefault="00813870" w:rsidP="00946EB1">
      <w:pPr>
        <w:shd w:val="clear" w:color="auto" w:fill="FFFFFF"/>
        <w:spacing w:after="0" w:line="360" w:lineRule="auto"/>
        <w:ind w:firstLine="300"/>
        <w:jc w:val="right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СУ „Св. Климент Охридски“</w:t>
      </w:r>
    </w:p>
    <w:p w:rsidR="00813870" w:rsidRDefault="00813870" w:rsidP="00946EB1">
      <w:pPr>
        <w:shd w:val="clear" w:color="auto" w:fill="FFFFFF"/>
        <w:spacing w:after="0" w:line="360" w:lineRule="auto"/>
        <w:ind w:firstLine="300"/>
        <w:jc w:val="right"/>
        <w:rPr>
          <w:rStyle w:val="Hyperlink"/>
          <w:rFonts w:ascii="Times New Roman" w:hAnsi="Times New Roman"/>
          <w:sz w:val="24"/>
          <w:szCs w:val="24"/>
          <w:lang w:val="fr-FR"/>
        </w:rPr>
      </w:pPr>
      <w:r w:rsidRPr="00BE2857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e-mail: </w:t>
      </w:r>
      <w:hyperlink r:id="rId10" w:history="1">
        <w:r w:rsidRPr="00BE2857">
          <w:rPr>
            <w:rStyle w:val="Hyperlink"/>
            <w:rFonts w:ascii="Times New Roman" w:hAnsi="Times New Roman"/>
            <w:sz w:val="24"/>
            <w:szCs w:val="24"/>
            <w:lang w:val="fr-FR"/>
          </w:rPr>
          <w:t>ttsaneva@admin.uni-sofia.bg</w:t>
        </w:r>
      </w:hyperlink>
    </w:p>
    <w:p w:rsidR="00642A1E" w:rsidRPr="00642A1E" w:rsidRDefault="00464699" w:rsidP="009B597B">
      <w:pPr>
        <w:shd w:val="clear" w:color="auto" w:fill="FFFFFF"/>
        <w:spacing w:after="0" w:line="360" w:lineRule="auto"/>
        <w:ind w:firstLine="300"/>
        <w:jc w:val="right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Style w:val="Hyperlink"/>
          <w:rFonts w:ascii="Times New Roman" w:hAnsi="Times New Roman"/>
          <w:sz w:val="24"/>
          <w:szCs w:val="24"/>
          <w:lang w:val="bg-BG"/>
        </w:rPr>
        <w:t>тел.: 02/ 9</w:t>
      </w:r>
      <w:r w:rsidR="00B57E26">
        <w:rPr>
          <w:rStyle w:val="Hyperlink"/>
          <w:rFonts w:ascii="Times New Roman" w:hAnsi="Times New Roman"/>
          <w:sz w:val="24"/>
          <w:szCs w:val="24"/>
          <w:lang w:val="bg-BG"/>
        </w:rPr>
        <w:t>308</w:t>
      </w:r>
      <w:r>
        <w:rPr>
          <w:rStyle w:val="Hyperlink"/>
          <w:rFonts w:ascii="Times New Roman" w:hAnsi="Times New Roman"/>
          <w:sz w:val="24"/>
          <w:szCs w:val="24"/>
          <w:lang w:val="bg-BG"/>
        </w:rPr>
        <w:t>416</w:t>
      </w:r>
      <w:r w:rsidR="0016648C">
        <w:rPr>
          <w:rStyle w:val="Hyperlink"/>
          <w:rFonts w:ascii="Times New Roman" w:hAnsi="Times New Roman"/>
          <w:sz w:val="24"/>
          <w:szCs w:val="24"/>
          <w:lang w:val="bg-BG"/>
        </w:rPr>
        <w:t>, 9308</w:t>
      </w:r>
      <w:r w:rsidR="00946EB1">
        <w:rPr>
          <w:rStyle w:val="Hyperlink"/>
          <w:rFonts w:ascii="Times New Roman" w:hAnsi="Times New Roman"/>
          <w:sz w:val="24"/>
          <w:szCs w:val="24"/>
          <w:lang w:val="bg-BG"/>
        </w:rPr>
        <w:t>22</w:t>
      </w:r>
      <w:r w:rsidR="0016648C">
        <w:rPr>
          <w:rStyle w:val="Hyperlink"/>
          <w:rFonts w:ascii="Times New Roman" w:hAnsi="Times New Roman"/>
          <w:sz w:val="24"/>
          <w:szCs w:val="24"/>
          <w:lang w:val="bg-BG"/>
        </w:rPr>
        <w:t>0</w:t>
      </w:r>
    </w:p>
    <w:p w:rsidR="00813870" w:rsidRPr="00813870" w:rsidRDefault="00813870" w:rsidP="00C10FEB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813870" w:rsidRPr="00813870" w:rsidSect="00A60911">
      <w:headerReference w:type="default" r:id="rId11"/>
      <w:footerReference w:type="default" r:id="rId12"/>
      <w:pgSz w:w="12240" w:h="15840"/>
      <w:pgMar w:top="1417" w:right="990" w:bottom="1417" w:left="1134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32" w:rsidRDefault="00E25932" w:rsidP="00894BC8">
      <w:pPr>
        <w:spacing w:after="0" w:line="240" w:lineRule="auto"/>
      </w:pPr>
      <w:r>
        <w:separator/>
      </w:r>
    </w:p>
  </w:endnote>
  <w:endnote w:type="continuationSeparator" w:id="0">
    <w:p w:rsidR="00E25932" w:rsidRDefault="00E25932" w:rsidP="0089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56"/>
      <w:gridCol w:w="461"/>
    </w:tblGrid>
    <w:tr w:rsidR="00894BC8" w:rsidRPr="00894BC8" w:rsidTr="0081442E">
      <w:trPr>
        <w:trHeight w:val="116"/>
      </w:trPr>
      <w:tc>
        <w:tcPr>
          <w:tcW w:w="4770" w:type="pct"/>
          <w:tcBorders>
            <w:top w:val="single" w:sz="4" w:space="0" w:color="000000" w:themeColor="text1"/>
          </w:tcBorders>
        </w:tcPr>
        <w:p w:rsidR="00894BC8" w:rsidRPr="00D668F7" w:rsidRDefault="00E25932" w:rsidP="00894BC8">
          <w:pPr>
            <w:pStyle w:val="Footer"/>
            <w:jc w:val="center"/>
            <w:rPr>
              <w:rFonts w:ascii="Times New Roman" w:hAnsi="Times New Roman"/>
              <w:color w:val="002060"/>
            </w:rPr>
          </w:pPr>
          <w:sdt>
            <w:sdtP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alias w:val="Company"/>
              <w:id w:val="1971315820"/>
              <w:placeholder>
                <w:docPart w:val="A81E8201FA834BBEBF8BA8A8DA7A9250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94BC8" w:rsidRPr="00D668F7">
                <w:rPr>
                  <w:rFonts w:ascii="Times New Roman" w:eastAsia="Times New Roman" w:hAnsi="Times New Roman"/>
                  <w:b/>
                  <w:bCs/>
                  <w:color w:val="002060"/>
                  <w:sz w:val="24"/>
                  <w:szCs w:val="24"/>
                </w:rPr>
                <w:t>СТУДЕНТСКА МОБИЛНОСТ С ЦЕЛ ПРАКТИКА</w:t>
              </w:r>
            </w:sdtContent>
          </w:sdt>
        </w:p>
        <w:p w:rsidR="00894BC8" w:rsidRDefault="00894BC8" w:rsidP="00894BC8">
          <w:pPr>
            <w:pStyle w:val="Footer"/>
            <w:jc w:val="center"/>
            <w:rPr>
              <w:rFonts w:ascii="Times New Roman" w:hAnsi="Times New Roman"/>
              <w:color w:val="002060"/>
              <w:lang w:val="bg-BG"/>
            </w:rPr>
          </w:pPr>
          <w:r w:rsidRPr="00D668F7">
            <w:rPr>
              <w:rFonts w:ascii="Times New Roman" w:hAnsi="Times New Roman"/>
              <w:color w:val="002060"/>
              <w:lang w:val="bg-BG"/>
            </w:rPr>
            <w:t>СУ „Св. Климент Охридски“</w:t>
          </w:r>
        </w:p>
        <w:p w:rsidR="00735DF4" w:rsidRPr="00D668F7" w:rsidRDefault="00735DF4" w:rsidP="00735DF4">
          <w:pPr>
            <w:pStyle w:val="Footer"/>
            <w:jc w:val="center"/>
            <w:rPr>
              <w:rFonts w:ascii="Times New Roman" w:hAnsi="Times New Roman"/>
              <w:color w:val="002060"/>
              <w:lang w:val="bg-BG"/>
            </w:rPr>
          </w:pPr>
          <w:r>
            <w:rPr>
              <w:rFonts w:ascii="Times New Roman" w:hAnsi="Times New Roman"/>
              <w:color w:val="002060"/>
              <w:lang w:val="bg-BG"/>
            </w:rPr>
            <w:t xml:space="preserve">Академична </w:t>
          </w:r>
          <w:r w:rsidRPr="00D668F7">
            <w:rPr>
              <w:rFonts w:ascii="Times New Roman" w:hAnsi="Times New Roman"/>
              <w:color w:val="002060"/>
            </w:rPr>
            <w:t>201</w:t>
          </w:r>
          <w:r>
            <w:rPr>
              <w:rFonts w:ascii="Times New Roman" w:hAnsi="Times New Roman"/>
              <w:color w:val="002060"/>
              <w:lang w:val="bg-BG"/>
            </w:rPr>
            <w:t>6</w:t>
          </w:r>
          <w:r w:rsidRPr="00D668F7">
            <w:rPr>
              <w:rFonts w:ascii="Times New Roman" w:hAnsi="Times New Roman"/>
              <w:color w:val="002060"/>
            </w:rPr>
            <w:t>/201</w:t>
          </w:r>
          <w:r>
            <w:rPr>
              <w:rFonts w:ascii="Times New Roman" w:hAnsi="Times New Roman"/>
              <w:color w:val="002060"/>
              <w:lang w:val="bg-BG"/>
            </w:rPr>
            <w:t>7</w:t>
          </w:r>
          <w:r w:rsidRPr="00D668F7">
            <w:rPr>
              <w:rFonts w:ascii="Times New Roman" w:hAnsi="Times New Roman"/>
              <w:color w:val="002060"/>
            </w:rPr>
            <w:t xml:space="preserve"> </w:t>
          </w:r>
          <w:r w:rsidRPr="00D668F7">
            <w:rPr>
              <w:rFonts w:ascii="Times New Roman" w:hAnsi="Times New Roman"/>
              <w:color w:val="002060"/>
              <w:lang w:val="bg-BG"/>
            </w:rPr>
            <w:t>година</w:t>
          </w:r>
        </w:p>
        <w:p w:rsidR="00735DF4" w:rsidRDefault="00735DF4" w:rsidP="00894BC8">
          <w:pPr>
            <w:pStyle w:val="Footer"/>
            <w:jc w:val="center"/>
            <w:rPr>
              <w:rFonts w:ascii="Times New Roman" w:hAnsi="Times New Roman"/>
              <w:color w:val="002060"/>
              <w:lang w:val="bg-BG"/>
            </w:rPr>
          </w:pPr>
        </w:p>
        <w:p w:rsidR="001E0CFA" w:rsidRPr="001E0CFA" w:rsidRDefault="001E0CFA" w:rsidP="00894BC8">
          <w:pPr>
            <w:pStyle w:val="Footer"/>
            <w:jc w:val="center"/>
            <w:rPr>
              <w:i/>
              <w:color w:val="002060"/>
              <w:lang w:val="bg-BG"/>
            </w:rPr>
          </w:pPr>
        </w:p>
      </w:tc>
      <w:tc>
        <w:tcPr>
          <w:tcW w:w="23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94BC8" w:rsidRPr="00894BC8" w:rsidRDefault="00894BC8" w:rsidP="00894BC8">
          <w:pPr>
            <w:pStyle w:val="Header"/>
            <w:jc w:val="center"/>
            <w:rPr>
              <w:color w:val="002060"/>
            </w:rPr>
          </w:pPr>
          <w:r w:rsidRPr="00894BC8">
            <w:rPr>
              <w:color w:val="002060"/>
            </w:rPr>
            <w:fldChar w:fldCharType="begin"/>
          </w:r>
          <w:r w:rsidRPr="00894BC8">
            <w:rPr>
              <w:color w:val="002060"/>
            </w:rPr>
            <w:instrText xml:space="preserve"> PAGE   \* MERGEFORMAT </w:instrText>
          </w:r>
          <w:r w:rsidRPr="00894BC8">
            <w:rPr>
              <w:color w:val="002060"/>
            </w:rPr>
            <w:fldChar w:fldCharType="separate"/>
          </w:r>
          <w:r w:rsidR="008A1034">
            <w:rPr>
              <w:noProof/>
              <w:color w:val="002060"/>
            </w:rPr>
            <w:t>3</w:t>
          </w:r>
          <w:r w:rsidRPr="00894BC8">
            <w:rPr>
              <w:noProof/>
              <w:color w:val="002060"/>
            </w:rPr>
            <w:fldChar w:fldCharType="end"/>
          </w:r>
        </w:p>
      </w:tc>
    </w:tr>
  </w:tbl>
  <w:p w:rsidR="00894BC8" w:rsidRPr="00894BC8" w:rsidRDefault="00894BC8">
    <w:pPr>
      <w:pStyle w:val="Footer"/>
      <w:rPr>
        <w:color w:val="002060"/>
      </w:rPr>
    </w:pPr>
  </w:p>
  <w:p w:rsidR="00894BC8" w:rsidRDefault="00894B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32" w:rsidRDefault="00E25932" w:rsidP="00894BC8">
      <w:pPr>
        <w:spacing w:after="0" w:line="240" w:lineRule="auto"/>
      </w:pPr>
      <w:r>
        <w:separator/>
      </w:r>
    </w:p>
  </w:footnote>
  <w:footnote w:type="continuationSeparator" w:id="0">
    <w:p w:rsidR="00E25932" w:rsidRDefault="00E25932" w:rsidP="0089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BC8" w:rsidRDefault="00B26F14" w:rsidP="00894BC8">
    <w:pPr>
      <w:pStyle w:val="Header"/>
      <w:jc w:val="center"/>
    </w:pPr>
    <w:r>
      <w:rPr>
        <w:noProof/>
        <w:lang w:val="bg-BG" w:eastAsia="bg-BG"/>
      </w:rPr>
      <mc:AlternateContent>
        <mc:Choice Requires="wpc">
          <w:drawing>
            <wp:inline distT="0" distB="0" distL="0" distR="0" wp14:anchorId="43A373F1" wp14:editId="70A3C26F">
              <wp:extent cx="1033780" cy="763270"/>
              <wp:effectExtent l="0" t="0" r="0" b="0"/>
              <wp:docPr id="11" name="Canvas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59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0436B561" id="Canvas 11" o:spid="_x0000_s1026" editas="canvas" style="width:81.4pt;height:60.1pt;mso-position-horizontal-relative:char;mso-position-vertical-relative:line" coordsize="10337,7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37;height:7632;visibility:visible;mso-wrap-style:square">
                <v:fill o:detectmouseclick="t"/>
                <v:path o:connecttype="none"/>
              </v:shape>
              <v:shape id="Picture 5" o:spid="_x0000_s1028" type="#_x0000_t75" style="position:absolute;width:10375;height:7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i1NDFAAAA2wAAAA8AAABkcnMvZG93bnJldi54bWxEj0FvwjAMhe+T9h8iT+I20u2Ato6A0MSk&#10;ShyAwmFHq/Gaao1TmkALvx4fJu1m6z2/93m+HH2rLtTHJrCBl2kGirgKtuHawPHw9fwGKiZki21g&#10;MnClCMvF48MccxsG3tOlTLWSEI45GnApdbnWsXLkMU5DRyzaT+g9Jln7WtseBwn3rX7Nspn22LA0&#10;OOzo01H1W569Af7erop92mBXDjeXvTe74rTeGTN5GlcfoBKN6d/8d11YwRd6+UUG0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YtTQxQAAANsAAAAPAAAAAAAAAAAAAAAA&#10;AJ8CAABkcnMvZG93bnJldi54bWxQSwUGAAAAAAQABAD3AAAAkQMAAAAA&#10;">
                <v:imagedata r:id="rId2" o:title=""/>
              </v:shape>
              <w10:anchorlock/>
            </v:group>
          </w:pict>
        </mc:Fallback>
      </mc:AlternateContent>
    </w:r>
    <w:r w:rsidR="00894BC8">
      <w:rPr>
        <w:noProof/>
        <w:lang w:val="bg-BG" w:eastAsia="bg-BG"/>
      </w:rPr>
      <w:drawing>
        <wp:inline distT="0" distB="0" distL="0" distR="0" wp14:anchorId="55670D04" wp14:editId="6D6B337C">
          <wp:extent cx="715617" cy="704526"/>
          <wp:effectExtent l="0" t="0" r="8890" b="635"/>
          <wp:docPr id="9" name="Picture 9" descr="D:\My Documents\APAO\MARKETING\ASAS-logo\ASAS_LOGO_bg-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My Documents\APAO\MARKETING\ASAS-logo\ASAS_LOGO_bg-portrai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179" cy="709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4846">
      <w:rPr>
        <w:rFonts w:ascii="Times New Roman" w:eastAsia="Times New Roman" w:hAnsi="Times New Roman"/>
        <w:noProof/>
        <w:sz w:val="24"/>
        <w:szCs w:val="24"/>
        <w:lang w:val="bg-BG" w:eastAsia="bg-BG"/>
      </w:rPr>
      <w:drawing>
        <wp:inline distT="0" distB="0" distL="0" distR="0" wp14:anchorId="44A2FE81" wp14:editId="3C0A686A">
          <wp:extent cx="3491784" cy="638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784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94BC8" w:rsidRDefault="00894B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.5pt;height:7.5pt" o:bullet="t">
        <v:imagedata r:id="rId1" o:title="arrow_red"/>
      </v:shape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FEC738F"/>
    <w:multiLevelType w:val="multilevel"/>
    <w:tmpl w:val="3172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F1970"/>
    <w:multiLevelType w:val="hybridMultilevel"/>
    <w:tmpl w:val="FE7216FC"/>
    <w:lvl w:ilvl="0" w:tplc="E23CCE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534C"/>
    <w:multiLevelType w:val="multilevel"/>
    <w:tmpl w:val="60B2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10281"/>
    <w:multiLevelType w:val="multilevel"/>
    <w:tmpl w:val="5A4A3A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15FF9"/>
    <w:multiLevelType w:val="multilevel"/>
    <w:tmpl w:val="3234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A6E63"/>
    <w:multiLevelType w:val="hybridMultilevel"/>
    <w:tmpl w:val="2F3A31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512FC"/>
    <w:multiLevelType w:val="hybridMultilevel"/>
    <w:tmpl w:val="F13C3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2A72"/>
    <w:multiLevelType w:val="hybridMultilevel"/>
    <w:tmpl w:val="150E24D0"/>
    <w:lvl w:ilvl="0" w:tplc="CD0AA67E">
      <w:start w:val="3"/>
      <w:numFmt w:val="bullet"/>
      <w:lvlText w:val="҉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745A5"/>
    <w:multiLevelType w:val="multilevel"/>
    <w:tmpl w:val="277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13386"/>
    <w:multiLevelType w:val="multilevel"/>
    <w:tmpl w:val="957055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F4C7D"/>
    <w:multiLevelType w:val="multilevel"/>
    <w:tmpl w:val="3E7A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52099"/>
    <w:multiLevelType w:val="multilevel"/>
    <w:tmpl w:val="8216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B7DBE"/>
    <w:multiLevelType w:val="multilevel"/>
    <w:tmpl w:val="8AE4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850F1F"/>
    <w:multiLevelType w:val="multilevel"/>
    <w:tmpl w:val="7F20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8854F54"/>
    <w:multiLevelType w:val="hybridMultilevel"/>
    <w:tmpl w:val="19D0C2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14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44"/>
    <w:rsid w:val="0000098B"/>
    <w:rsid w:val="00001BAE"/>
    <w:rsid w:val="000104FC"/>
    <w:rsid w:val="00014110"/>
    <w:rsid w:val="0001789E"/>
    <w:rsid w:val="0003693E"/>
    <w:rsid w:val="00037AAE"/>
    <w:rsid w:val="00040E5B"/>
    <w:rsid w:val="000473B3"/>
    <w:rsid w:val="00047FBA"/>
    <w:rsid w:val="0005203C"/>
    <w:rsid w:val="00056FCE"/>
    <w:rsid w:val="00066074"/>
    <w:rsid w:val="00066FF9"/>
    <w:rsid w:val="00067B15"/>
    <w:rsid w:val="000A06AC"/>
    <w:rsid w:val="000A4C69"/>
    <w:rsid w:val="000B72F6"/>
    <w:rsid w:val="000D6A73"/>
    <w:rsid w:val="000E6B54"/>
    <w:rsid w:val="000F7614"/>
    <w:rsid w:val="0010266A"/>
    <w:rsid w:val="00107837"/>
    <w:rsid w:val="00122A6D"/>
    <w:rsid w:val="001245CA"/>
    <w:rsid w:val="00137A43"/>
    <w:rsid w:val="00163B62"/>
    <w:rsid w:val="0016648C"/>
    <w:rsid w:val="00166A8F"/>
    <w:rsid w:val="00174F4A"/>
    <w:rsid w:val="0018710C"/>
    <w:rsid w:val="00197604"/>
    <w:rsid w:val="001B3C16"/>
    <w:rsid w:val="001C4681"/>
    <w:rsid w:val="001D28BF"/>
    <w:rsid w:val="001E0CFA"/>
    <w:rsid w:val="001E29E2"/>
    <w:rsid w:val="001F3951"/>
    <w:rsid w:val="001F44A2"/>
    <w:rsid w:val="00202FCD"/>
    <w:rsid w:val="00211E75"/>
    <w:rsid w:val="0022134B"/>
    <w:rsid w:val="00224A59"/>
    <w:rsid w:val="00235D26"/>
    <w:rsid w:val="00237355"/>
    <w:rsid w:val="00242315"/>
    <w:rsid w:val="00257765"/>
    <w:rsid w:val="0026334A"/>
    <w:rsid w:val="00263992"/>
    <w:rsid w:val="0026505F"/>
    <w:rsid w:val="002667AF"/>
    <w:rsid w:val="00294D5D"/>
    <w:rsid w:val="002A3F62"/>
    <w:rsid w:val="002A76AB"/>
    <w:rsid w:val="002C0C85"/>
    <w:rsid w:val="002C0FA7"/>
    <w:rsid w:val="002C4573"/>
    <w:rsid w:val="002D1F73"/>
    <w:rsid w:val="003078D9"/>
    <w:rsid w:val="003308E4"/>
    <w:rsid w:val="003374AE"/>
    <w:rsid w:val="003435BB"/>
    <w:rsid w:val="00343655"/>
    <w:rsid w:val="00371A6E"/>
    <w:rsid w:val="003871B1"/>
    <w:rsid w:val="00391507"/>
    <w:rsid w:val="00394F20"/>
    <w:rsid w:val="003B0868"/>
    <w:rsid w:val="003D1BDE"/>
    <w:rsid w:val="003E0142"/>
    <w:rsid w:val="003E3F4F"/>
    <w:rsid w:val="003E40EB"/>
    <w:rsid w:val="003F19CA"/>
    <w:rsid w:val="003F49B1"/>
    <w:rsid w:val="00404846"/>
    <w:rsid w:val="004054A1"/>
    <w:rsid w:val="00416F35"/>
    <w:rsid w:val="004333CD"/>
    <w:rsid w:val="00436B21"/>
    <w:rsid w:val="00445E57"/>
    <w:rsid w:val="00464699"/>
    <w:rsid w:val="00481A8D"/>
    <w:rsid w:val="00487E4A"/>
    <w:rsid w:val="0049229C"/>
    <w:rsid w:val="004A1DAF"/>
    <w:rsid w:val="004A580D"/>
    <w:rsid w:val="004A7A6D"/>
    <w:rsid w:val="004B2BBA"/>
    <w:rsid w:val="004B547B"/>
    <w:rsid w:val="004C7EAB"/>
    <w:rsid w:val="004D3702"/>
    <w:rsid w:val="004D5152"/>
    <w:rsid w:val="004D774F"/>
    <w:rsid w:val="004F08A0"/>
    <w:rsid w:val="00503D37"/>
    <w:rsid w:val="005239E6"/>
    <w:rsid w:val="00527696"/>
    <w:rsid w:val="005304F4"/>
    <w:rsid w:val="00550EED"/>
    <w:rsid w:val="00554A9B"/>
    <w:rsid w:val="005578F3"/>
    <w:rsid w:val="0057684E"/>
    <w:rsid w:val="005878DE"/>
    <w:rsid w:val="005964BC"/>
    <w:rsid w:val="005971AE"/>
    <w:rsid w:val="005B4712"/>
    <w:rsid w:val="005B5F53"/>
    <w:rsid w:val="005D2F3C"/>
    <w:rsid w:val="005E411C"/>
    <w:rsid w:val="005E4B99"/>
    <w:rsid w:val="005E4F07"/>
    <w:rsid w:val="005F56EB"/>
    <w:rsid w:val="005F7D56"/>
    <w:rsid w:val="00617009"/>
    <w:rsid w:val="00631149"/>
    <w:rsid w:val="00632CA1"/>
    <w:rsid w:val="00642A1E"/>
    <w:rsid w:val="006472E0"/>
    <w:rsid w:val="006546CA"/>
    <w:rsid w:val="00672117"/>
    <w:rsid w:val="00682DA3"/>
    <w:rsid w:val="006872EC"/>
    <w:rsid w:val="006A29E1"/>
    <w:rsid w:val="006B3B51"/>
    <w:rsid w:val="006B3C79"/>
    <w:rsid w:val="006C49CB"/>
    <w:rsid w:val="006D7FE8"/>
    <w:rsid w:val="006F07A6"/>
    <w:rsid w:val="006F592A"/>
    <w:rsid w:val="00735DF4"/>
    <w:rsid w:val="0074183C"/>
    <w:rsid w:val="00763512"/>
    <w:rsid w:val="00765184"/>
    <w:rsid w:val="00771EC6"/>
    <w:rsid w:val="00776830"/>
    <w:rsid w:val="00776CC9"/>
    <w:rsid w:val="00777AB7"/>
    <w:rsid w:val="007A50E6"/>
    <w:rsid w:val="007A6515"/>
    <w:rsid w:val="007B1851"/>
    <w:rsid w:val="007B3F02"/>
    <w:rsid w:val="007B4F25"/>
    <w:rsid w:val="007B7DBE"/>
    <w:rsid w:val="007D7A81"/>
    <w:rsid w:val="007E1D58"/>
    <w:rsid w:val="0080405B"/>
    <w:rsid w:val="00813870"/>
    <w:rsid w:val="00813977"/>
    <w:rsid w:val="0081442E"/>
    <w:rsid w:val="008223B1"/>
    <w:rsid w:val="00831410"/>
    <w:rsid w:val="0084087C"/>
    <w:rsid w:val="00852F69"/>
    <w:rsid w:val="008601E0"/>
    <w:rsid w:val="00862CE0"/>
    <w:rsid w:val="0087364F"/>
    <w:rsid w:val="008758D8"/>
    <w:rsid w:val="00894BC8"/>
    <w:rsid w:val="008A1034"/>
    <w:rsid w:val="008A5DAF"/>
    <w:rsid w:val="008D31A8"/>
    <w:rsid w:val="008D52B3"/>
    <w:rsid w:val="008E0F67"/>
    <w:rsid w:val="008E5EB8"/>
    <w:rsid w:val="008F591C"/>
    <w:rsid w:val="009023B4"/>
    <w:rsid w:val="009072C5"/>
    <w:rsid w:val="009148C8"/>
    <w:rsid w:val="009162B3"/>
    <w:rsid w:val="00917B92"/>
    <w:rsid w:val="00922542"/>
    <w:rsid w:val="00931488"/>
    <w:rsid w:val="00931E8F"/>
    <w:rsid w:val="00934CA6"/>
    <w:rsid w:val="00946AB2"/>
    <w:rsid w:val="00946EB1"/>
    <w:rsid w:val="00947CF7"/>
    <w:rsid w:val="00962269"/>
    <w:rsid w:val="00970A14"/>
    <w:rsid w:val="00972332"/>
    <w:rsid w:val="00976BB1"/>
    <w:rsid w:val="0098004F"/>
    <w:rsid w:val="009A34E7"/>
    <w:rsid w:val="009A6ED8"/>
    <w:rsid w:val="009B597B"/>
    <w:rsid w:val="009C4CC6"/>
    <w:rsid w:val="009D251F"/>
    <w:rsid w:val="009D652C"/>
    <w:rsid w:val="009E5378"/>
    <w:rsid w:val="009E56D6"/>
    <w:rsid w:val="009E7372"/>
    <w:rsid w:val="009F68F5"/>
    <w:rsid w:val="009F7D9F"/>
    <w:rsid w:val="00A050EF"/>
    <w:rsid w:val="00A178B1"/>
    <w:rsid w:val="00A2543C"/>
    <w:rsid w:val="00A32E50"/>
    <w:rsid w:val="00A419B5"/>
    <w:rsid w:val="00A47644"/>
    <w:rsid w:val="00A6010F"/>
    <w:rsid w:val="00A60911"/>
    <w:rsid w:val="00A60FB7"/>
    <w:rsid w:val="00A6545A"/>
    <w:rsid w:val="00A70E75"/>
    <w:rsid w:val="00A830FB"/>
    <w:rsid w:val="00A840C9"/>
    <w:rsid w:val="00A91D41"/>
    <w:rsid w:val="00A93861"/>
    <w:rsid w:val="00A95772"/>
    <w:rsid w:val="00AB3E31"/>
    <w:rsid w:val="00AB6469"/>
    <w:rsid w:val="00AC2086"/>
    <w:rsid w:val="00AD2877"/>
    <w:rsid w:val="00AD46A9"/>
    <w:rsid w:val="00AF55F3"/>
    <w:rsid w:val="00AF76C9"/>
    <w:rsid w:val="00B07C4B"/>
    <w:rsid w:val="00B10D60"/>
    <w:rsid w:val="00B16F9D"/>
    <w:rsid w:val="00B249EC"/>
    <w:rsid w:val="00B257B1"/>
    <w:rsid w:val="00B26F14"/>
    <w:rsid w:val="00B34EDA"/>
    <w:rsid w:val="00B420AE"/>
    <w:rsid w:val="00B52765"/>
    <w:rsid w:val="00B57E26"/>
    <w:rsid w:val="00B64ACC"/>
    <w:rsid w:val="00B64D6A"/>
    <w:rsid w:val="00B75CD0"/>
    <w:rsid w:val="00B77C28"/>
    <w:rsid w:val="00B83998"/>
    <w:rsid w:val="00B96DD0"/>
    <w:rsid w:val="00BB322D"/>
    <w:rsid w:val="00BB687B"/>
    <w:rsid w:val="00BD5E87"/>
    <w:rsid w:val="00BE17CD"/>
    <w:rsid w:val="00BE2857"/>
    <w:rsid w:val="00BF3E73"/>
    <w:rsid w:val="00C10FEB"/>
    <w:rsid w:val="00C16A5F"/>
    <w:rsid w:val="00C2068A"/>
    <w:rsid w:val="00C436BB"/>
    <w:rsid w:val="00C54B26"/>
    <w:rsid w:val="00C60B45"/>
    <w:rsid w:val="00C61D53"/>
    <w:rsid w:val="00C6404E"/>
    <w:rsid w:val="00C822C2"/>
    <w:rsid w:val="00C829FF"/>
    <w:rsid w:val="00C93456"/>
    <w:rsid w:val="00CA42FD"/>
    <w:rsid w:val="00CB2445"/>
    <w:rsid w:val="00CC4EDE"/>
    <w:rsid w:val="00CD34D7"/>
    <w:rsid w:val="00CE6559"/>
    <w:rsid w:val="00CF5540"/>
    <w:rsid w:val="00D128E3"/>
    <w:rsid w:val="00D22DAD"/>
    <w:rsid w:val="00D23DC7"/>
    <w:rsid w:val="00D269EC"/>
    <w:rsid w:val="00D32CA8"/>
    <w:rsid w:val="00D42EAD"/>
    <w:rsid w:val="00D60B7D"/>
    <w:rsid w:val="00D668F7"/>
    <w:rsid w:val="00D74B93"/>
    <w:rsid w:val="00D805F0"/>
    <w:rsid w:val="00D81DB1"/>
    <w:rsid w:val="00D94572"/>
    <w:rsid w:val="00DA25C3"/>
    <w:rsid w:val="00DA715E"/>
    <w:rsid w:val="00DB0BA1"/>
    <w:rsid w:val="00DB47ED"/>
    <w:rsid w:val="00DB5935"/>
    <w:rsid w:val="00DC7006"/>
    <w:rsid w:val="00DD2569"/>
    <w:rsid w:val="00DD38AB"/>
    <w:rsid w:val="00DF2424"/>
    <w:rsid w:val="00DF7F91"/>
    <w:rsid w:val="00E233AE"/>
    <w:rsid w:val="00E247F3"/>
    <w:rsid w:val="00E25932"/>
    <w:rsid w:val="00E47DF3"/>
    <w:rsid w:val="00E66C5A"/>
    <w:rsid w:val="00E76AB0"/>
    <w:rsid w:val="00E84066"/>
    <w:rsid w:val="00E936FE"/>
    <w:rsid w:val="00E93A7E"/>
    <w:rsid w:val="00EB6B61"/>
    <w:rsid w:val="00EB6D3B"/>
    <w:rsid w:val="00EC7990"/>
    <w:rsid w:val="00EE10DB"/>
    <w:rsid w:val="00EE28F9"/>
    <w:rsid w:val="00F019D7"/>
    <w:rsid w:val="00F045A3"/>
    <w:rsid w:val="00F11E76"/>
    <w:rsid w:val="00F11E89"/>
    <w:rsid w:val="00F26A44"/>
    <w:rsid w:val="00F72128"/>
    <w:rsid w:val="00F739D8"/>
    <w:rsid w:val="00F75903"/>
    <w:rsid w:val="00FC27FC"/>
    <w:rsid w:val="00FC62B3"/>
    <w:rsid w:val="00FD1A75"/>
    <w:rsid w:val="00FE3B41"/>
    <w:rsid w:val="00FE757E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4FE952-3EC7-4348-9749-F14EFFE9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B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B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B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BC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39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2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8701">
          <w:marLeft w:val="0"/>
          <w:marRight w:val="0"/>
          <w:marTop w:val="0"/>
          <w:marBottom w:val="0"/>
          <w:divBdr>
            <w:top w:val="single" w:sz="2" w:space="0" w:color="2F3F45"/>
            <w:left w:val="single" w:sz="2" w:space="0" w:color="2F3F45"/>
            <w:bottom w:val="single" w:sz="2" w:space="0" w:color="2F3F45"/>
            <w:right w:val="single" w:sz="12" w:space="0" w:color="2F3F45"/>
          </w:divBdr>
          <w:divsChild>
            <w:div w:id="665859240">
              <w:marLeft w:val="0"/>
              <w:marRight w:val="0"/>
              <w:marTop w:val="0"/>
              <w:marBottom w:val="0"/>
              <w:divBdr>
                <w:top w:val="single" w:sz="2" w:space="0" w:color="2F3F45"/>
                <w:left w:val="single" w:sz="12" w:space="0" w:color="2F3F45"/>
                <w:bottom w:val="single" w:sz="2" w:space="0" w:color="2F3F45"/>
                <w:right w:val="single" w:sz="2" w:space="0" w:color="2F3F45"/>
              </w:divBdr>
              <w:divsChild>
                <w:div w:id="1443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991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0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50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46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4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30731945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1582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37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66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0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57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761148967">
                      <w:marLeft w:val="405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c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ic.b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tsaneva@admin.uni-sofi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ic.b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1E8201FA834BBEBF8BA8A8DA7A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99AB2-03D1-458D-AD8A-9BFE45D75216}"/>
      </w:docPartPr>
      <w:docPartBody>
        <w:p w:rsidR="004E41F8" w:rsidRDefault="00080574" w:rsidP="00080574">
          <w:pPr>
            <w:pStyle w:val="A81E8201FA834BBEBF8BA8A8DA7A9250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74"/>
    <w:rsid w:val="00080574"/>
    <w:rsid w:val="002E5555"/>
    <w:rsid w:val="003204BA"/>
    <w:rsid w:val="004E41F8"/>
    <w:rsid w:val="009C0A7A"/>
    <w:rsid w:val="00E4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749BE1940E42BB8C826B4224E47B61">
    <w:name w:val="F6749BE1940E42BB8C826B4224E47B61"/>
    <w:rsid w:val="00080574"/>
  </w:style>
  <w:style w:type="paragraph" w:customStyle="1" w:styleId="A81E8201FA834BBEBF8BA8A8DA7A9250">
    <w:name w:val="A81E8201FA834BBEBF8BA8A8DA7A9250"/>
    <w:rsid w:val="000805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СТУДЕНТСКА МОБИЛНОСТ С ЦЕЛ ПРАКТИКА</Company>
  <LinksUpToDate>false</LinksUpToDate>
  <CharactersWithSpaces>14572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MO_1</dc:creator>
  <cp:lastModifiedBy>Теодора Момчева</cp:lastModifiedBy>
  <cp:revision>2</cp:revision>
  <dcterms:created xsi:type="dcterms:W3CDTF">2016-09-07T14:46:00Z</dcterms:created>
  <dcterms:modified xsi:type="dcterms:W3CDTF">2016-09-07T14:46:00Z</dcterms:modified>
</cp:coreProperties>
</file>